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83A" w:rsidRDefault="002B483A">
      <w:pPr>
        <w:rPr>
          <w:noProof/>
        </w:rPr>
      </w:pPr>
      <w:r>
        <w:rPr>
          <w:noProof/>
        </w:rPr>
        <w:t xml:space="preserve">                                                                 </w:t>
      </w:r>
    </w:p>
    <w:p w:rsidR="00212E5C" w:rsidRPr="00212E5C" w:rsidRDefault="00B46D4A" w:rsidP="00212E5C">
      <w:pPr>
        <w:jc w:val="center"/>
        <w:rPr>
          <w:noProof/>
          <w:sz w:val="40"/>
          <w:szCs w:val="40"/>
        </w:rPr>
      </w:pPr>
      <w:r w:rsidRPr="00B46D4A">
        <w:rPr>
          <w:b/>
          <w:noProof/>
          <w:sz w:val="40"/>
          <w:szCs w:val="40"/>
        </w:rPr>
        <w:t>Self-Determination Advisory Committee</w:t>
      </w:r>
      <w:r w:rsidR="00212E5C">
        <w:rPr>
          <w:b/>
          <w:noProof/>
          <w:sz w:val="40"/>
          <w:szCs w:val="40"/>
        </w:rPr>
        <w:t xml:space="preserve"> </w:t>
      </w:r>
      <w:r>
        <w:rPr>
          <w:noProof/>
          <w:sz w:val="40"/>
          <w:szCs w:val="40"/>
        </w:rPr>
        <w:t>MINUTES/NOTES</w:t>
      </w:r>
      <w:r>
        <w:rPr>
          <w:noProof/>
          <w:sz w:val="32"/>
          <w:szCs w:val="32"/>
        </w:rPr>
        <w:tab/>
      </w:r>
      <w:r>
        <w:rPr>
          <w:noProof/>
          <w:sz w:val="32"/>
          <w:szCs w:val="32"/>
        </w:rPr>
        <w:tab/>
      </w:r>
    </w:p>
    <w:tbl>
      <w:tblPr>
        <w:tblStyle w:val="TableGrid"/>
        <w:tblW w:w="0" w:type="auto"/>
        <w:tblLook w:val="04A0" w:firstRow="1" w:lastRow="0" w:firstColumn="1" w:lastColumn="0" w:noHBand="0" w:noVBand="1"/>
      </w:tblPr>
      <w:tblGrid>
        <w:gridCol w:w="4675"/>
        <w:gridCol w:w="4675"/>
      </w:tblGrid>
      <w:tr w:rsidR="00212E5C" w:rsidTr="00212E5C">
        <w:tc>
          <w:tcPr>
            <w:tcW w:w="4675" w:type="dxa"/>
          </w:tcPr>
          <w:p w:rsidR="00212E5C" w:rsidRDefault="00212E5C" w:rsidP="00212E5C">
            <w:pPr>
              <w:jc w:val="center"/>
              <w:rPr>
                <w:noProof/>
                <w:sz w:val="32"/>
                <w:szCs w:val="32"/>
              </w:rPr>
            </w:pPr>
            <w:r>
              <w:rPr>
                <w:noProof/>
                <w:sz w:val="32"/>
                <w:szCs w:val="32"/>
              </w:rPr>
              <w:t>April 9, 2018</w:t>
            </w:r>
          </w:p>
        </w:tc>
        <w:tc>
          <w:tcPr>
            <w:tcW w:w="4675" w:type="dxa"/>
          </w:tcPr>
          <w:p w:rsidR="00212E5C" w:rsidRDefault="00212E5C" w:rsidP="00212E5C">
            <w:pPr>
              <w:jc w:val="center"/>
              <w:rPr>
                <w:noProof/>
                <w:sz w:val="32"/>
                <w:szCs w:val="32"/>
              </w:rPr>
            </w:pPr>
            <w:r>
              <w:rPr>
                <w:noProof/>
                <w:sz w:val="32"/>
                <w:szCs w:val="32"/>
              </w:rPr>
              <w:t>12:00-1:30 PM</w:t>
            </w:r>
          </w:p>
        </w:tc>
      </w:tr>
      <w:tr w:rsidR="00212E5C" w:rsidTr="00212E5C">
        <w:tc>
          <w:tcPr>
            <w:tcW w:w="4675" w:type="dxa"/>
          </w:tcPr>
          <w:p w:rsidR="00212E5C" w:rsidRDefault="00212E5C" w:rsidP="00212E5C">
            <w:pPr>
              <w:jc w:val="center"/>
              <w:rPr>
                <w:noProof/>
                <w:sz w:val="32"/>
                <w:szCs w:val="32"/>
              </w:rPr>
            </w:pPr>
            <w:r>
              <w:rPr>
                <w:noProof/>
                <w:sz w:val="32"/>
                <w:szCs w:val="32"/>
              </w:rPr>
              <w:t>North Bay Regional Center</w:t>
            </w:r>
          </w:p>
          <w:p w:rsidR="00212E5C" w:rsidRDefault="00212E5C" w:rsidP="00212E5C">
            <w:pPr>
              <w:jc w:val="center"/>
              <w:rPr>
                <w:noProof/>
                <w:sz w:val="32"/>
                <w:szCs w:val="32"/>
              </w:rPr>
            </w:pPr>
            <w:r>
              <w:rPr>
                <w:noProof/>
                <w:sz w:val="32"/>
                <w:szCs w:val="32"/>
              </w:rPr>
              <w:t>Napa Office</w:t>
            </w:r>
          </w:p>
          <w:p w:rsidR="00212E5C" w:rsidRDefault="00212E5C" w:rsidP="00212E5C">
            <w:pPr>
              <w:jc w:val="center"/>
              <w:rPr>
                <w:noProof/>
                <w:sz w:val="32"/>
                <w:szCs w:val="32"/>
              </w:rPr>
            </w:pPr>
            <w:r>
              <w:rPr>
                <w:noProof/>
                <w:sz w:val="32"/>
                <w:szCs w:val="32"/>
              </w:rPr>
              <w:t>610 Airpark Road</w:t>
            </w:r>
          </w:p>
          <w:p w:rsidR="00212E5C" w:rsidRDefault="00212E5C" w:rsidP="00212E5C">
            <w:pPr>
              <w:jc w:val="center"/>
              <w:rPr>
                <w:noProof/>
                <w:sz w:val="32"/>
                <w:szCs w:val="32"/>
              </w:rPr>
            </w:pPr>
            <w:r>
              <w:rPr>
                <w:noProof/>
                <w:sz w:val="32"/>
                <w:szCs w:val="32"/>
              </w:rPr>
              <w:t>Napa, CA 94558</w:t>
            </w:r>
          </w:p>
          <w:p w:rsidR="00212E5C" w:rsidRDefault="00212E5C" w:rsidP="00B46D4A">
            <w:pPr>
              <w:rPr>
                <w:noProof/>
                <w:sz w:val="32"/>
                <w:szCs w:val="32"/>
              </w:rPr>
            </w:pPr>
          </w:p>
        </w:tc>
        <w:tc>
          <w:tcPr>
            <w:tcW w:w="4675" w:type="dxa"/>
          </w:tcPr>
          <w:p w:rsidR="00212E5C" w:rsidRDefault="00212E5C" w:rsidP="00212E5C">
            <w:pPr>
              <w:jc w:val="center"/>
              <w:rPr>
                <w:noProof/>
                <w:sz w:val="32"/>
                <w:szCs w:val="32"/>
              </w:rPr>
            </w:pPr>
            <w:r>
              <w:rPr>
                <w:noProof/>
                <w:sz w:val="32"/>
                <w:szCs w:val="32"/>
              </w:rPr>
              <w:t>Napa Bay Regional Center</w:t>
            </w:r>
          </w:p>
          <w:p w:rsidR="00212E5C" w:rsidRDefault="00212E5C" w:rsidP="00212E5C">
            <w:pPr>
              <w:jc w:val="center"/>
              <w:rPr>
                <w:noProof/>
                <w:sz w:val="32"/>
                <w:szCs w:val="32"/>
              </w:rPr>
            </w:pPr>
            <w:r>
              <w:rPr>
                <w:noProof/>
                <w:sz w:val="32"/>
                <w:szCs w:val="32"/>
              </w:rPr>
              <w:t xml:space="preserve">Santa Rosa Office </w:t>
            </w:r>
          </w:p>
          <w:p w:rsidR="00212E5C" w:rsidRDefault="00212E5C" w:rsidP="00212E5C">
            <w:pPr>
              <w:jc w:val="center"/>
              <w:rPr>
                <w:noProof/>
                <w:sz w:val="32"/>
                <w:szCs w:val="32"/>
              </w:rPr>
            </w:pPr>
            <w:r>
              <w:rPr>
                <w:noProof/>
                <w:sz w:val="32"/>
                <w:szCs w:val="32"/>
              </w:rPr>
              <w:t>2351 Mendocino Ave</w:t>
            </w:r>
          </w:p>
          <w:p w:rsidR="00212E5C" w:rsidRDefault="00212E5C" w:rsidP="00212E5C">
            <w:pPr>
              <w:jc w:val="center"/>
              <w:rPr>
                <w:noProof/>
                <w:sz w:val="32"/>
                <w:szCs w:val="32"/>
              </w:rPr>
            </w:pPr>
            <w:r>
              <w:rPr>
                <w:noProof/>
                <w:sz w:val="32"/>
                <w:szCs w:val="32"/>
              </w:rPr>
              <w:t>Santa Rosa, CA 95403</w:t>
            </w:r>
          </w:p>
          <w:p w:rsidR="00212E5C" w:rsidRDefault="00212E5C" w:rsidP="00212E5C">
            <w:pPr>
              <w:jc w:val="center"/>
              <w:rPr>
                <w:noProof/>
                <w:sz w:val="32"/>
                <w:szCs w:val="32"/>
              </w:rPr>
            </w:pPr>
          </w:p>
        </w:tc>
      </w:tr>
    </w:tbl>
    <w:p w:rsidR="00212E5C" w:rsidRDefault="00212E5C" w:rsidP="00B46D4A">
      <w:pPr>
        <w:rPr>
          <w:noProof/>
          <w:sz w:val="32"/>
          <w:szCs w:val="32"/>
        </w:rPr>
      </w:pPr>
    </w:p>
    <w:tbl>
      <w:tblPr>
        <w:tblStyle w:val="TableGrid"/>
        <w:tblW w:w="9557" w:type="dxa"/>
        <w:tblLook w:val="04A0" w:firstRow="1" w:lastRow="0" w:firstColumn="1" w:lastColumn="0" w:noHBand="0" w:noVBand="1"/>
      </w:tblPr>
      <w:tblGrid>
        <w:gridCol w:w="1804"/>
        <w:gridCol w:w="5707"/>
        <w:gridCol w:w="2046"/>
      </w:tblGrid>
      <w:tr w:rsidR="001700F9" w:rsidRPr="00A006CD" w:rsidTr="00050BDA">
        <w:trPr>
          <w:trHeight w:val="582"/>
        </w:trPr>
        <w:tc>
          <w:tcPr>
            <w:tcW w:w="1804" w:type="dxa"/>
          </w:tcPr>
          <w:p w:rsidR="001700F9" w:rsidRPr="00A006CD" w:rsidRDefault="001700F9" w:rsidP="00226F9D">
            <w:pPr>
              <w:jc w:val="center"/>
              <w:rPr>
                <w:noProof/>
                <w:sz w:val="24"/>
                <w:szCs w:val="24"/>
              </w:rPr>
            </w:pPr>
          </w:p>
        </w:tc>
        <w:tc>
          <w:tcPr>
            <w:tcW w:w="5707" w:type="dxa"/>
          </w:tcPr>
          <w:p w:rsidR="001700F9" w:rsidRPr="00A006CD" w:rsidRDefault="001700F9" w:rsidP="00B46D4A">
            <w:pPr>
              <w:rPr>
                <w:noProof/>
                <w:sz w:val="24"/>
                <w:szCs w:val="24"/>
              </w:rPr>
            </w:pPr>
          </w:p>
        </w:tc>
        <w:tc>
          <w:tcPr>
            <w:tcW w:w="2046" w:type="dxa"/>
          </w:tcPr>
          <w:p w:rsidR="001700F9" w:rsidRPr="00A006CD" w:rsidRDefault="001700F9" w:rsidP="00B46D4A">
            <w:pPr>
              <w:rPr>
                <w:noProof/>
                <w:sz w:val="24"/>
                <w:szCs w:val="24"/>
              </w:rPr>
            </w:pPr>
            <w:r w:rsidRPr="00A006CD">
              <w:rPr>
                <w:noProof/>
                <w:sz w:val="24"/>
                <w:szCs w:val="24"/>
              </w:rPr>
              <w:t xml:space="preserve">Person Responsible </w:t>
            </w:r>
          </w:p>
        </w:tc>
      </w:tr>
      <w:tr w:rsidR="001700F9" w:rsidRPr="00A006CD" w:rsidTr="00050BDA">
        <w:trPr>
          <w:trHeight w:val="881"/>
        </w:trPr>
        <w:tc>
          <w:tcPr>
            <w:tcW w:w="1804" w:type="dxa"/>
          </w:tcPr>
          <w:p w:rsidR="001700F9" w:rsidRDefault="001700F9" w:rsidP="00226F9D">
            <w:pPr>
              <w:jc w:val="center"/>
              <w:rPr>
                <w:rFonts w:ascii="Tw Cen MT" w:eastAsia="Arial" w:hAnsi="Tw Cen MT" w:cs="Arial"/>
                <w:noProof/>
                <w:sz w:val="28"/>
                <w:szCs w:val="28"/>
              </w:rPr>
            </w:pPr>
            <w:r>
              <w:rPr>
                <w:rFonts w:ascii="Tw Cen MT" w:eastAsia="Arial" w:hAnsi="Tw Cen MT" w:cs="Arial"/>
                <w:noProof/>
                <w:sz w:val="28"/>
                <w:szCs w:val="28"/>
              </w:rPr>
              <w:drawing>
                <wp:inline distT="0" distB="0" distL="0" distR="0" wp14:anchorId="6C6EE77F" wp14:editId="75B3E626">
                  <wp:extent cx="702259" cy="4315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l to Order.wmf"/>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702259" cy="431597"/>
                          </a:xfrm>
                          <a:prstGeom prst="rect">
                            <a:avLst/>
                          </a:prstGeom>
                        </pic:spPr>
                      </pic:pic>
                    </a:graphicData>
                  </a:graphic>
                </wp:inline>
              </w:drawing>
            </w:r>
          </w:p>
        </w:tc>
        <w:tc>
          <w:tcPr>
            <w:tcW w:w="5707" w:type="dxa"/>
          </w:tcPr>
          <w:p w:rsidR="001700F9" w:rsidRPr="00A006CD" w:rsidRDefault="001700F9" w:rsidP="00B46D4A">
            <w:pPr>
              <w:rPr>
                <w:noProof/>
                <w:sz w:val="24"/>
                <w:szCs w:val="24"/>
              </w:rPr>
            </w:pPr>
            <w:r>
              <w:rPr>
                <w:noProof/>
                <w:sz w:val="24"/>
                <w:szCs w:val="24"/>
              </w:rPr>
              <w:t xml:space="preserve">  Call to Order  12:11 PM</w:t>
            </w:r>
          </w:p>
        </w:tc>
        <w:tc>
          <w:tcPr>
            <w:tcW w:w="2046" w:type="dxa"/>
          </w:tcPr>
          <w:p w:rsidR="001700F9" w:rsidRPr="00A006CD" w:rsidRDefault="001700F9" w:rsidP="00B46D4A">
            <w:pPr>
              <w:rPr>
                <w:noProof/>
                <w:sz w:val="24"/>
                <w:szCs w:val="24"/>
              </w:rPr>
            </w:pPr>
            <w:r>
              <w:rPr>
                <w:noProof/>
                <w:sz w:val="24"/>
                <w:szCs w:val="24"/>
              </w:rPr>
              <w:t xml:space="preserve">Sonia Jones, Chair </w:t>
            </w:r>
          </w:p>
        </w:tc>
      </w:tr>
      <w:tr w:rsidR="001700F9" w:rsidRPr="00A006CD" w:rsidTr="00050BDA">
        <w:trPr>
          <w:trHeight w:val="300"/>
        </w:trPr>
        <w:tc>
          <w:tcPr>
            <w:tcW w:w="1804" w:type="dxa"/>
          </w:tcPr>
          <w:p w:rsidR="001700F9" w:rsidRPr="00A006CD" w:rsidRDefault="001700F9" w:rsidP="00226F9D">
            <w:pPr>
              <w:jc w:val="center"/>
              <w:rPr>
                <w:noProof/>
                <w:sz w:val="24"/>
                <w:szCs w:val="24"/>
              </w:rPr>
            </w:pPr>
            <w:r>
              <w:rPr>
                <w:noProof/>
                <w:sz w:val="24"/>
                <w:szCs w:val="24"/>
              </w:rPr>
              <w:drawing>
                <wp:inline distT="0" distB="0" distL="0" distR="0">
                  <wp:extent cx="849827" cy="593766"/>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ak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2673" cy="616715"/>
                          </a:xfrm>
                          <a:prstGeom prst="rect">
                            <a:avLst/>
                          </a:prstGeom>
                        </pic:spPr>
                      </pic:pic>
                    </a:graphicData>
                  </a:graphic>
                </wp:inline>
              </w:drawing>
            </w:r>
          </w:p>
        </w:tc>
        <w:tc>
          <w:tcPr>
            <w:tcW w:w="5707" w:type="dxa"/>
          </w:tcPr>
          <w:p w:rsidR="001700F9" w:rsidRPr="00103405" w:rsidRDefault="001700F9" w:rsidP="00B46D4A">
            <w:pPr>
              <w:rPr>
                <w:b/>
                <w:noProof/>
                <w:sz w:val="24"/>
                <w:szCs w:val="24"/>
              </w:rPr>
            </w:pPr>
            <w:r w:rsidRPr="00103405">
              <w:rPr>
                <w:b/>
                <w:noProof/>
                <w:sz w:val="24"/>
                <w:szCs w:val="24"/>
              </w:rPr>
              <w:t xml:space="preserve">Committee Members in attendace: </w:t>
            </w:r>
          </w:p>
          <w:p w:rsidR="001700F9" w:rsidRDefault="001700F9" w:rsidP="00B46D4A">
            <w:pPr>
              <w:rPr>
                <w:noProof/>
                <w:sz w:val="24"/>
                <w:szCs w:val="24"/>
              </w:rPr>
            </w:pPr>
            <w:r>
              <w:rPr>
                <w:noProof/>
                <w:sz w:val="24"/>
                <w:szCs w:val="24"/>
              </w:rPr>
              <w:t>Sonia Jones (Chair)</w:t>
            </w:r>
          </w:p>
          <w:p w:rsidR="001700F9" w:rsidRDefault="001700F9" w:rsidP="00B46D4A">
            <w:pPr>
              <w:rPr>
                <w:noProof/>
                <w:sz w:val="24"/>
                <w:szCs w:val="24"/>
              </w:rPr>
            </w:pPr>
            <w:r>
              <w:rPr>
                <w:noProof/>
                <w:sz w:val="24"/>
                <w:szCs w:val="24"/>
              </w:rPr>
              <w:t>Diane Rogers, Yulahlia Hernandez, Gail Thomps</w:t>
            </w:r>
            <w:r w:rsidR="00103405">
              <w:rPr>
                <w:noProof/>
                <w:sz w:val="24"/>
                <w:szCs w:val="24"/>
              </w:rPr>
              <w:t>on, Donna Arbios, Jerry Corradi, Jessica Levi</w:t>
            </w:r>
          </w:p>
          <w:p w:rsidR="001700F9" w:rsidRDefault="001700F9" w:rsidP="00B46D4A">
            <w:pPr>
              <w:rPr>
                <w:noProof/>
                <w:sz w:val="24"/>
                <w:szCs w:val="24"/>
              </w:rPr>
            </w:pPr>
          </w:p>
          <w:p w:rsidR="001700F9" w:rsidRPr="00103405" w:rsidRDefault="001700F9" w:rsidP="00B46D4A">
            <w:pPr>
              <w:rPr>
                <w:b/>
                <w:noProof/>
                <w:sz w:val="24"/>
                <w:szCs w:val="24"/>
              </w:rPr>
            </w:pPr>
            <w:r w:rsidRPr="00103405">
              <w:rPr>
                <w:b/>
                <w:noProof/>
                <w:sz w:val="24"/>
                <w:szCs w:val="24"/>
              </w:rPr>
              <w:t xml:space="preserve">Community Members in attendance: </w:t>
            </w:r>
          </w:p>
          <w:p w:rsidR="001700F9" w:rsidRDefault="001700F9" w:rsidP="00B46D4A">
            <w:pPr>
              <w:rPr>
                <w:noProof/>
                <w:sz w:val="24"/>
                <w:szCs w:val="24"/>
              </w:rPr>
            </w:pPr>
            <w:r>
              <w:rPr>
                <w:noProof/>
                <w:sz w:val="24"/>
                <w:szCs w:val="24"/>
              </w:rPr>
              <w:t>Lorna Boos (Support Staff), Gabriel Rogin (NBRC),</w:t>
            </w:r>
            <w:r w:rsidR="00103405">
              <w:rPr>
                <w:noProof/>
                <w:sz w:val="24"/>
                <w:szCs w:val="24"/>
              </w:rPr>
              <w:t xml:space="preserve"> January Crane (NBRC),</w:t>
            </w:r>
            <w:r>
              <w:rPr>
                <w:noProof/>
                <w:sz w:val="24"/>
                <w:szCs w:val="24"/>
              </w:rPr>
              <w:t xml:space="preserve"> Lisa Hooks (SCDD), Maika O’</w:t>
            </w:r>
            <w:r w:rsidR="00103405">
              <w:rPr>
                <w:noProof/>
                <w:sz w:val="24"/>
                <w:szCs w:val="24"/>
              </w:rPr>
              <w:t xml:space="preserve">Brien (NBRC), Joe Hernandez (premier), Jeannette Prosser (NBRC) </w:t>
            </w:r>
          </w:p>
          <w:p w:rsidR="001700F9" w:rsidRPr="00A006CD" w:rsidRDefault="001700F9" w:rsidP="00B46D4A">
            <w:pPr>
              <w:rPr>
                <w:noProof/>
                <w:sz w:val="24"/>
                <w:szCs w:val="24"/>
              </w:rPr>
            </w:pPr>
          </w:p>
        </w:tc>
        <w:tc>
          <w:tcPr>
            <w:tcW w:w="2046" w:type="dxa"/>
          </w:tcPr>
          <w:p w:rsidR="001700F9" w:rsidRPr="00A006CD" w:rsidRDefault="001700F9" w:rsidP="00B46D4A">
            <w:pPr>
              <w:rPr>
                <w:noProof/>
                <w:sz w:val="24"/>
                <w:szCs w:val="24"/>
              </w:rPr>
            </w:pPr>
          </w:p>
        </w:tc>
      </w:tr>
      <w:tr w:rsidR="001700F9" w:rsidRPr="00A006CD" w:rsidTr="00050BDA">
        <w:trPr>
          <w:trHeight w:val="282"/>
        </w:trPr>
        <w:tc>
          <w:tcPr>
            <w:tcW w:w="1804" w:type="dxa"/>
          </w:tcPr>
          <w:p w:rsidR="00226F9D" w:rsidRPr="00226F9D" w:rsidRDefault="00226F9D" w:rsidP="00226F9D">
            <w:pPr>
              <w:jc w:val="center"/>
              <w:rPr>
                <w:noProof/>
                <w:sz w:val="24"/>
                <w:szCs w:val="24"/>
              </w:rPr>
            </w:pPr>
            <w:r>
              <w:rPr>
                <w:noProof/>
                <w:sz w:val="24"/>
                <w:szCs w:val="24"/>
              </w:rPr>
              <w:t>Approval of Minutes</w:t>
            </w:r>
          </w:p>
          <w:p w:rsidR="00103405" w:rsidRPr="00A006CD" w:rsidRDefault="00103405" w:rsidP="00226F9D">
            <w:pPr>
              <w:jc w:val="center"/>
              <w:rPr>
                <w:noProof/>
                <w:sz w:val="24"/>
                <w:szCs w:val="24"/>
              </w:rPr>
            </w:pPr>
            <w:r>
              <w:rPr>
                <w:rFonts w:ascii="Tw Cen MT" w:eastAsia="Arial" w:hAnsi="Tw Cen MT" w:cs="Arial"/>
                <w:noProof/>
                <w:sz w:val="28"/>
                <w:szCs w:val="28"/>
              </w:rPr>
              <w:drawing>
                <wp:inline distT="0" distB="0" distL="0" distR="0" wp14:anchorId="05481761" wp14:editId="39B5855B">
                  <wp:extent cx="581025" cy="714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714375"/>
                          </a:xfrm>
                          <a:prstGeom prst="rect">
                            <a:avLst/>
                          </a:prstGeom>
                          <a:noFill/>
                        </pic:spPr>
                      </pic:pic>
                    </a:graphicData>
                  </a:graphic>
                </wp:inline>
              </w:drawing>
            </w:r>
          </w:p>
        </w:tc>
        <w:tc>
          <w:tcPr>
            <w:tcW w:w="5707" w:type="dxa"/>
          </w:tcPr>
          <w:p w:rsidR="00103405" w:rsidRDefault="00627C13" w:rsidP="00B46D4A">
            <w:pPr>
              <w:rPr>
                <w:noProof/>
                <w:sz w:val="24"/>
                <w:szCs w:val="24"/>
              </w:rPr>
            </w:pPr>
            <w:r w:rsidRPr="00DB0A7F">
              <w:rPr>
                <w:noProof/>
                <w:sz w:val="24"/>
                <w:szCs w:val="24"/>
                <w:highlight w:val="yellow"/>
              </w:rPr>
              <w:t>A member</w:t>
            </w:r>
            <w:r w:rsidR="00103405" w:rsidRPr="00DB0A7F">
              <w:rPr>
                <w:noProof/>
                <w:sz w:val="24"/>
                <w:szCs w:val="24"/>
                <w:highlight w:val="yellow"/>
              </w:rPr>
              <w:t xml:space="preserve"> moved to approve minutes.</w:t>
            </w:r>
            <w:r w:rsidR="00103405">
              <w:rPr>
                <w:noProof/>
                <w:sz w:val="24"/>
                <w:szCs w:val="24"/>
              </w:rPr>
              <w:t xml:space="preserve"> </w:t>
            </w:r>
          </w:p>
          <w:p w:rsidR="00226F9D" w:rsidRDefault="00226F9D" w:rsidP="00B46D4A">
            <w:pPr>
              <w:rPr>
                <w:noProof/>
                <w:sz w:val="24"/>
                <w:szCs w:val="24"/>
              </w:rPr>
            </w:pPr>
          </w:p>
          <w:p w:rsidR="00103405" w:rsidRPr="00A006CD" w:rsidRDefault="00103405" w:rsidP="00B46D4A">
            <w:pPr>
              <w:rPr>
                <w:noProof/>
                <w:sz w:val="24"/>
                <w:szCs w:val="24"/>
              </w:rPr>
            </w:pPr>
            <w:r>
              <w:rPr>
                <w:noProof/>
                <w:sz w:val="24"/>
                <w:szCs w:val="24"/>
              </w:rPr>
              <w:t xml:space="preserve">Diane seconded approval of mintues.  </w:t>
            </w:r>
          </w:p>
        </w:tc>
        <w:tc>
          <w:tcPr>
            <w:tcW w:w="2046" w:type="dxa"/>
          </w:tcPr>
          <w:p w:rsidR="001700F9" w:rsidRPr="00A006CD" w:rsidRDefault="00103405" w:rsidP="00B46D4A">
            <w:pPr>
              <w:rPr>
                <w:noProof/>
                <w:sz w:val="24"/>
                <w:szCs w:val="24"/>
              </w:rPr>
            </w:pPr>
            <w:r>
              <w:rPr>
                <w:noProof/>
                <w:sz w:val="24"/>
                <w:szCs w:val="24"/>
              </w:rPr>
              <w:t xml:space="preserve">Members </w:t>
            </w:r>
          </w:p>
        </w:tc>
      </w:tr>
      <w:tr w:rsidR="001700F9" w:rsidRPr="00A006CD" w:rsidTr="00050BDA">
        <w:trPr>
          <w:trHeight w:val="282"/>
        </w:trPr>
        <w:tc>
          <w:tcPr>
            <w:tcW w:w="1804" w:type="dxa"/>
          </w:tcPr>
          <w:p w:rsidR="001700F9" w:rsidRPr="00A006CD" w:rsidRDefault="00226F9D" w:rsidP="00226F9D">
            <w:pPr>
              <w:jc w:val="center"/>
              <w:rPr>
                <w:noProof/>
                <w:sz w:val="24"/>
                <w:szCs w:val="24"/>
              </w:rPr>
            </w:pPr>
            <w:r>
              <w:rPr>
                <w:noProof/>
                <w:sz w:val="24"/>
                <w:szCs w:val="24"/>
              </w:rPr>
              <w:t>Public Comment</w:t>
            </w:r>
          </w:p>
        </w:tc>
        <w:tc>
          <w:tcPr>
            <w:tcW w:w="5707" w:type="dxa"/>
          </w:tcPr>
          <w:p w:rsidR="00226F9D" w:rsidRPr="00A006CD" w:rsidRDefault="00226F9D" w:rsidP="00B46D4A">
            <w:pPr>
              <w:rPr>
                <w:noProof/>
                <w:sz w:val="24"/>
                <w:szCs w:val="24"/>
              </w:rPr>
            </w:pPr>
            <w:r>
              <w:rPr>
                <w:noProof/>
                <w:sz w:val="24"/>
                <w:szCs w:val="24"/>
              </w:rPr>
              <w:t xml:space="preserve">It was announced that the next Statewide SDP Advisory meeting would be held May 15, 2018 at the </w:t>
            </w:r>
            <w:r w:rsidR="00DB0A7F">
              <w:rPr>
                <w:noProof/>
                <w:sz w:val="24"/>
                <w:szCs w:val="24"/>
              </w:rPr>
              <w:t>Crowne Plaza Hotel in Sacra</w:t>
            </w:r>
            <w:r>
              <w:rPr>
                <w:noProof/>
                <w:sz w:val="24"/>
                <w:szCs w:val="24"/>
              </w:rPr>
              <w:t>mento. This meeting was</w:t>
            </w:r>
            <w:r w:rsidR="0087300E">
              <w:rPr>
                <w:noProof/>
                <w:sz w:val="24"/>
                <w:szCs w:val="24"/>
              </w:rPr>
              <w:t xml:space="preserve"> later</w:t>
            </w:r>
            <w:r>
              <w:rPr>
                <w:noProof/>
                <w:sz w:val="24"/>
                <w:szCs w:val="24"/>
              </w:rPr>
              <w:t xml:space="preserve"> reported to be postponed until May 31, 2018. </w:t>
            </w:r>
          </w:p>
        </w:tc>
        <w:tc>
          <w:tcPr>
            <w:tcW w:w="2046" w:type="dxa"/>
          </w:tcPr>
          <w:p w:rsidR="001700F9" w:rsidRPr="00A006CD" w:rsidRDefault="001700F9" w:rsidP="00B46D4A">
            <w:pPr>
              <w:rPr>
                <w:noProof/>
                <w:sz w:val="24"/>
                <w:szCs w:val="24"/>
              </w:rPr>
            </w:pPr>
          </w:p>
        </w:tc>
      </w:tr>
      <w:tr w:rsidR="001700F9" w:rsidRPr="00A006CD" w:rsidTr="00050BDA">
        <w:trPr>
          <w:trHeight w:val="282"/>
        </w:trPr>
        <w:tc>
          <w:tcPr>
            <w:tcW w:w="1804" w:type="dxa"/>
          </w:tcPr>
          <w:p w:rsidR="001700F9" w:rsidRPr="00A006CD" w:rsidRDefault="00226F9D" w:rsidP="00226F9D">
            <w:pPr>
              <w:jc w:val="center"/>
              <w:rPr>
                <w:noProof/>
                <w:sz w:val="24"/>
                <w:szCs w:val="24"/>
              </w:rPr>
            </w:pPr>
            <w:r>
              <w:rPr>
                <w:noProof/>
                <w:sz w:val="24"/>
                <w:szCs w:val="24"/>
              </w:rPr>
              <w:lastRenderedPageBreak/>
              <w:t>Committee Comments</w:t>
            </w:r>
          </w:p>
        </w:tc>
        <w:tc>
          <w:tcPr>
            <w:tcW w:w="5707" w:type="dxa"/>
          </w:tcPr>
          <w:p w:rsidR="001700F9" w:rsidRDefault="00226F9D" w:rsidP="00B46D4A">
            <w:pPr>
              <w:rPr>
                <w:noProof/>
                <w:sz w:val="24"/>
                <w:szCs w:val="24"/>
              </w:rPr>
            </w:pPr>
            <w:r>
              <w:rPr>
                <w:noProof/>
                <w:sz w:val="24"/>
                <w:szCs w:val="24"/>
              </w:rPr>
              <w:t>Diane Rogers expressed concerns related to keeping the indivi</w:t>
            </w:r>
            <w:r w:rsidR="000A3080">
              <w:rPr>
                <w:noProof/>
                <w:sz w:val="24"/>
                <w:szCs w:val="24"/>
              </w:rPr>
              <w:t xml:space="preserve">dual budgets safe. She also wanted to know if you can change the the budget and how often you can change it. </w:t>
            </w:r>
          </w:p>
          <w:p w:rsidR="0017001B" w:rsidRDefault="009F0F7E" w:rsidP="000A3080">
            <w:pPr>
              <w:pStyle w:val="ListParagraph"/>
              <w:numPr>
                <w:ilvl w:val="0"/>
                <w:numId w:val="1"/>
              </w:numPr>
              <w:rPr>
                <w:noProof/>
                <w:sz w:val="24"/>
                <w:szCs w:val="24"/>
              </w:rPr>
            </w:pPr>
            <w:r>
              <w:rPr>
                <w:noProof/>
                <w:sz w:val="24"/>
                <w:szCs w:val="24"/>
              </w:rPr>
              <w:t>The FMS company will be monitoring the funds and no changes will be made to the budget without the individual’s concent. 10% of the funds can be transferred once every 12 months to another category without a Plannig Team Meeting</w:t>
            </w:r>
            <w:r w:rsidR="0017001B">
              <w:rPr>
                <w:noProof/>
                <w:sz w:val="24"/>
                <w:szCs w:val="24"/>
              </w:rPr>
              <w:t xml:space="preserve">. Other changes will require a planning team meeting. </w:t>
            </w:r>
          </w:p>
          <w:p w:rsidR="0017001B" w:rsidRDefault="0017001B" w:rsidP="0017001B">
            <w:pPr>
              <w:rPr>
                <w:noProof/>
                <w:sz w:val="24"/>
                <w:szCs w:val="24"/>
              </w:rPr>
            </w:pPr>
            <w:r>
              <w:rPr>
                <w:noProof/>
                <w:sz w:val="24"/>
                <w:szCs w:val="24"/>
              </w:rPr>
              <w:t xml:space="preserve">Donna Arbios- Will prices be different for SDP client versus the typical vendored services? </w:t>
            </w:r>
          </w:p>
          <w:p w:rsidR="000A3080" w:rsidRDefault="0017001B" w:rsidP="0017001B">
            <w:pPr>
              <w:pStyle w:val="ListParagraph"/>
              <w:numPr>
                <w:ilvl w:val="0"/>
                <w:numId w:val="1"/>
              </w:numPr>
              <w:rPr>
                <w:noProof/>
                <w:sz w:val="24"/>
                <w:szCs w:val="24"/>
              </w:rPr>
            </w:pPr>
            <w:r>
              <w:rPr>
                <w:noProof/>
                <w:sz w:val="24"/>
                <w:szCs w:val="24"/>
              </w:rPr>
              <w:t xml:space="preserve">This will depend on the individual decisions of the vendors. SDP clients will have the ability to nogotiate their prices. </w:t>
            </w:r>
          </w:p>
          <w:p w:rsidR="0017001B" w:rsidRDefault="0017001B" w:rsidP="0017001B">
            <w:pPr>
              <w:rPr>
                <w:noProof/>
                <w:sz w:val="24"/>
                <w:szCs w:val="24"/>
              </w:rPr>
            </w:pPr>
          </w:p>
          <w:p w:rsidR="0017001B" w:rsidRDefault="0017001B" w:rsidP="00050BDA">
            <w:pPr>
              <w:rPr>
                <w:noProof/>
                <w:sz w:val="24"/>
                <w:szCs w:val="24"/>
              </w:rPr>
            </w:pPr>
            <w:r>
              <w:rPr>
                <w:noProof/>
                <w:sz w:val="24"/>
                <w:szCs w:val="24"/>
              </w:rPr>
              <w:t xml:space="preserve">January Crane explained that clients will have support </w:t>
            </w:r>
            <w:r w:rsidR="00050BDA">
              <w:rPr>
                <w:noProof/>
                <w:sz w:val="24"/>
                <w:szCs w:val="24"/>
              </w:rPr>
              <w:t xml:space="preserve">making all changes </w:t>
            </w:r>
            <w:r>
              <w:rPr>
                <w:noProof/>
                <w:sz w:val="24"/>
                <w:szCs w:val="24"/>
              </w:rPr>
              <w:t>through their d</w:t>
            </w:r>
            <w:r w:rsidR="00050BDA">
              <w:rPr>
                <w:noProof/>
                <w:sz w:val="24"/>
                <w:szCs w:val="24"/>
              </w:rPr>
              <w:t xml:space="preserve">irect service </w:t>
            </w:r>
            <w:r>
              <w:rPr>
                <w:noProof/>
                <w:sz w:val="24"/>
                <w:szCs w:val="24"/>
              </w:rPr>
              <w:t>coordinator. During the initial 71 the  NBRC Services Coordinators will highly supported by their Supervisor as well as the federal revenue team to help the service coordinators and individuals n</w:t>
            </w:r>
            <w:r w:rsidR="00050BDA">
              <w:rPr>
                <w:noProof/>
                <w:sz w:val="24"/>
                <w:szCs w:val="24"/>
              </w:rPr>
              <w:t xml:space="preserve">agotiate their new learning. </w:t>
            </w:r>
          </w:p>
          <w:p w:rsidR="0087300E" w:rsidRPr="0017001B" w:rsidRDefault="0087300E" w:rsidP="00050BDA">
            <w:pPr>
              <w:rPr>
                <w:sz w:val="24"/>
                <w:szCs w:val="24"/>
              </w:rPr>
            </w:pPr>
          </w:p>
        </w:tc>
        <w:tc>
          <w:tcPr>
            <w:tcW w:w="2046" w:type="dxa"/>
          </w:tcPr>
          <w:p w:rsidR="001700F9" w:rsidRDefault="001700F9" w:rsidP="00B46D4A">
            <w:pPr>
              <w:rPr>
                <w:noProof/>
                <w:sz w:val="24"/>
                <w:szCs w:val="24"/>
              </w:rPr>
            </w:pPr>
          </w:p>
          <w:p w:rsidR="0017001B" w:rsidRDefault="0017001B" w:rsidP="00B46D4A">
            <w:pPr>
              <w:rPr>
                <w:noProof/>
                <w:sz w:val="24"/>
                <w:szCs w:val="24"/>
              </w:rPr>
            </w:pPr>
          </w:p>
          <w:p w:rsidR="0017001B" w:rsidRDefault="0017001B" w:rsidP="00B46D4A">
            <w:pPr>
              <w:rPr>
                <w:noProof/>
                <w:sz w:val="24"/>
                <w:szCs w:val="24"/>
              </w:rPr>
            </w:pPr>
          </w:p>
          <w:p w:rsidR="0017001B" w:rsidRDefault="0017001B" w:rsidP="00B46D4A">
            <w:pPr>
              <w:rPr>
                <w:noProof/>
                <w:sz w:val="24"/>
                <w:szCs w:val="24"/>
              </w:rPr>
            </w:pPr>
          </w:p>
          <w:p w:rsidR="0017001B" w:rsidRDefault="0017001B" w:rsidP="00B46D4A">
            <w:pPr>
              <w:rPr>
                <w:noProof/>
                <w:sz w:val="24"/>
                <w:szCs w:val="24"/>
              </w:rPr>
            </w:pPr>
          </w:p>
          <w:p w:rsidR="0017001B" w:rsidRDefault="0017001B" w:rsidP="00B46D4A">
            <w:pPr>
              <w:rPr>
                <w:noProof/>
                <w:sz w:val="24"/>
                <w:szCs w:val="24"/>
              </w:rPr>
            </w:pPr>
          </w:p>
          <w:p w:rsidR="0017001B" w:rsidRDefault="0017001B" w:rsidP="00B46D4A">
            <w:pPr>
              <w:rPr>
                <w:noProof/>
                <w:sz w:val="24"/>
                <w:szCs w:val="24"/>
              </w:rPr>
            </w:pPr>
          </w:p>
          <w:p w:rsidR="0017001B" w:rsidRDefault="0017001B" w:rsidP="00B46D4A">
            <w:pPr>
              <w:rPr>
                <w:noProof/>
                <w:sz w:val="24"/>
                <w:szCs w:val="24"/>
              </w:rPr>
            </w:pPr>
          </w:p>
          <w:p w:rsidR="0017001B" w:rsidRDefault="0017001B" w:rsidP="00B46D4A">
            <w:pPr>
              <w:rPr>
                <w:noProof/>
                <w:sz w:val="24"/>
                <w:szCs w:val="24"/>
              </w:rPr>
            </w:pPr>
          </w:p>
          <w:p w:rsidR="0017001B" w:rsidRDefault="0017001B" w:rsidP="00B46D4A">
            <w:pPr>
              <w:rPr>
                <w:noProof/>
                <w:sz w:val="24"/>
                <w:szCs w:val="24"/>
              </w:rPr>
            </w:pPr>
          </w:p>
          <w:p w:rsidR="0017001B" w:rsidRDefault="0017001B" w:rsidP="00B46D4A">
            <w:pPr>
              <w:rPr>
                <w:noProof/>
                <w:sz w:val="24"/>
                <w:szCs w:val="24"/>
              </w:rPr>
            </w:pPr>
          </w:p>
          <w:p w:rsidR="0017001B" w:rsidRDefault="0017001B" w:rsidP="00B46D4A">
            <w:pPr>
              <w:rPr>
                <w:noProof/>
                <w:sz w:val="24"/>
                <w:szCs w:val="24"/>
              </w:rPr>
            </w:pPr>
          </w:p>
          <w:p w:rsidR="0017001B" w:rsidRDefault="0017001B" w:rsidP="00B46D4A">
            <w:pPr>
              <w:rPr>
                <w:noProof/>
                <w:sz w:val="24"/>
                <w:szCs w:val="24"/>
              </w:rPr>
            </w:pPr>
          </w:p>
          <w:p w:rsidR="0017001B" w:rsidRDefault="0017001B" w:rsidP="00B46D4A">
            <w:pPr>
              <w:rPr>
                <w:noProof/>
                <w:sz w:val="24"/>
                <w:szCs w:val="24"/>
              </w:rPr>
            </w:pPr>
          </w:p>
          <w:p w:rsidR="0017001B" w:rsidRDefault="0017001B" w:rsidP="00B46D4A">
            <w:pPr>
              <w:rPr>
                <w:noProof/>
                <w:sz w:val="24"/>
                <w:szCs w:val="24"/>
              </w:rPr>
            </w:pPr>
          </w:p>
          <w:p w:rsidR="0017001B" w:rsidRDefault="0017001B" w:rsidP="00B46D4A">
            <w:pPr>
              <w:rPr>
                <w:noProof/>
                <w:sz w:val="24"/>
                <w:szCs w:val="24"/>
              </w:rPr>
            </w:pPr>
          </w:p>
          <w:p w:rsidR="0017001B" w:rsidRDefault="0017001B" w:rsidP="00B46D4A">
            <w:pPr>
              <w:rPr>
                <w:noProof/>
                <w:sz w:val="24"/>
                <w:szCs w:val="24"/>
              </w:rPr>
            </w:pPr>
          </w:p>
          <w:p w:rsidR="0017001B" w:rsidRPr="00A006CD" w:rsidRDefault="00050BDA" w:rsidP="00B46D4A">
            <w:pPr>
              <w:rPr>
                <w:noProof/>
                <w:sz w:val="24"/>
                <w:szCs w:val="24"/>
              </w:rPr>
            </w:pPr>
            <w:r>
              <w:rPr>
                <w:noProof/>
                <w:sz w:val="24"/>
                <w:szCs w:val="24"/>
              </w:rPr>
              <w:t>Federal Revenue Team, Supervisors, SCs</w:t>
            </w:r>
          </w:p>
        </w:tc>
      </w:tr>
      <w:tr w:rsidR="0087300E" w:rsidRPr="00A006CD" w:rsidTr="00050BDA">
        <w:trPr>
          <w:trHeight w:val="282"/>
        </w:trPr>
        <w:tc>
          <w:tcPr>
            <w:tcW w:w="1804" w:type="dxa"/>
          </w:tcPr>
          <w:p w:rsidR="0087300E" w:rsidRDefault="00DB0A7F" w:rsidP="00226F9D">
            <w:pPr>
              <w:jc w:val="center"/>
              <w:rPr>
                <w:noProof/>
                <w:sz w:val="24"/>
                <w:szCs w:val="24"/>
              </w:rPr>
            </w:pPr>
            <w:r>
              <w:rPr>
                <w:noProof/>
                <w:sz w:val="24"/>
                <w:szCs w:val="24"/>
              </w:rPr>
              <w:t>Old Business</w:t>
            </w:r>
            <w:r w:rsidR="0087300E">
              <w:rPr>
                <w:noProof/>
                <w:sz w:val="24"/>
                <w:szCs w:val="24"/>
              </w:rPr>
              <w:t xml:space="preserve"> </w:t>
            </w:r>
          </w:p>
        </w:tc>
        <w:tc>
          <w:tcPr>
            <w:tcW w:w="5707" w:type="dxa"/>
          </w:tcPr>
          <w:p w:rsidR="0087300E" w:rsidRDefault="0087300E" w:rsidP="00B46D4A">
            <w:pPr>
              <w:rPr>
                <w:noProof/>
                <w:sz w:val="24"/>
                <w:szCs w:val="24"/>
              </w:rPr>
            </w:pPr>
            <w:r>
              <w:rPr>
                <w:noProof/>
                <w:sz w:val="24"/>
                <w:szCs w:val="24"/>
              </w:rPr>
              <w:t xml:space="preserve">Transportation: </w:t>
            </w:r>
          </w:p>
          <w:p w:rsidR="0087300E" w:rsidRDefault="0087300E" w:rsidP="00B46D4A">
            <w:pPr>
              <w:rPr>
                <w:noProof/>
                <w:sz w:val="24"/>
                <w:szCs w:val="24"/>
              </w:rPr>
            </w:pPr>
            <w:r>
              <w:rPr>
                <w:noProof/>
                <w:sz w:val="24"/>
                <w:szCs w:val="24"/>
              </w:rPr>
              <w:t xml:space="preserve">Maika O’Brien will initiate conversations between the members needing assistance with transportation to the meetings and their service coordinators. </w:t>
            </w:r>
          </w:p>
          <w:p w:rsidR="0087300E" w:rsidRDefault="0087300E" w:rsidP="00B46D4A">
            <w:pPr>
              <w:rPr>
                <w:noProof/>
                <w:sz w:val="24"/>
                <w:szCs w:val="24"/>
              </w:rPr>
            </w:pPr>
          </w:p>
          <w:p w:rsidR="0087300E" w:rsidRDefault="0087300E" w:rsidP="00B46D4A">
            <w:pPr>
              <w:rPr>
                <w:noProof/>
                <w:sz w:val="24"/>
                <w:szCs w:val="24"/>
              </w:rPr>
            </w:pPr>
            <w:r>
              <w:rPr>
                <w:noProof/>
                <w:sz w:val="24"/>
                <w:szCs w:val="24"/>
              </w:rPr>
              <w:t xml:space="preserve">Member Recruitment: </w:t>
            </w:r>
          </w:p>
          <w:p w:rsidR="0087300E" w:rsidRDefault="0087300E" w:rsidP="00B46D4A">
            <w:pPr>
              <w:rPr>
                <w:noProof/>
                <w:sz w:val="24"/>
                <w:szCs w:val="24"/>
              </w:rPr>
            </w:pPr>
            <w:r>
              <w:rPr>
                <w:noProof/>
                <w:sz w:val="24"/>
                <w:szCs w:val="24"/>
              </w:rPr>
              <w:t xml:space="preserve">Applications are currently being accepted. The committee can have up to </w:t>
            </w:r>
            <w:r w:rsidR="00DB0A7F">
              <w:rPr>
                <w:noProof/>
                <w:sz w:val="24"/>
                <w:szCs w:val="24"/>
              </w:rPr>
              <w:t xml:space="preserve">11 memembers and currently </w:t>
            </w:r>
            <w:r>
              <w:rPr>
                <w:noProof/>
                <w:sz w:val="24"/>
                <w:szCs w:val="24"/>
              </w:rPr>
              <w:t xml:space="preserve">consists of 9. </w:t>
            </w:r>
          </w:p>
          <w:p w:rsidR="0087300E" w:rsidRDefault="0087300E" w:rsidP="00B46D4A">
            <w:pPr>
              <w:rPr>
                <w:noProof/>
                <w:sz w:val="24"/>
                <w:szCs w:val="24"/>
              </w:rPr>
            </w:pPr>
          </w:p>
          <w:p w:rsidR="0087300E" w:rsidRDefault="0087300E" w:rsidP="00B46D4A">
            <w:pPr>
              <w:rPr>
                <w:noProof/>
                <w:sz w:val="24"/>
                <w:szCs w:val="24"/>
              </w:rPr>
            </w:pPr>
          </w:p>
        </w:tc>
        <w:tc>
          <w:tcPr>
            <w:tcW w:w="2046" w:type="dxa"/>
          </w:tcPr>
          <w:p w:rsidR="0087300E" w:rsidRDefault="0087300E" w:rsidP="00B46D4A">
            <w:pPr>
              <w:rPr>
                <w:noProof/>
                <w:sz w:val="24"/>
                <w:szCs w:val="24"/>
              </w:rPr>
            </w:pPr>
            <w:r>
              <w:rPr>
                <w:noProof/>
                <w:sz w:val="24"/>
                <w:szCs w:val="24"/>
              </w:rPr>
              <w:t>Maika O’Brien</w:t>
            </w:r>
          </w:p>
        </w:tc>
      </w:tr>
      <w:tr w:rsidR="001700F9" w:rsidRPr="00A006CD" w:rsidTr="00050BDA">
        <w:trPr>
          <w:trHeight w:val="282"/>
        </w:trPr>
        <w:tc>
          <w:tcPr>
            <w:tcW w:w="1804" w:type="dxa"/>
          </w:tcPr>
          <w:p w:rsidR="001700F9" w:rsidRPr="00A006CD" w:rsidRDefault="00050BDA" w:rsidP="00226F9D">
            <w:pPr>
              <w:jc w:val="center"/>
              <w:rPr>
                <w:noProof/>
                <w:sz w:val="24"/>
                <w:szCs w:val="24"/>
              </w:rPr>
            </w:pPr>
            <w:r>
              <w:rPr>
                <w:noProof/>
                <w:sz w:val="24"/>
                <w:szCs w:val="24"/>
              </w:rPr>
              <w:t xml:space="preserve">Sub Committee Reports </w:t>
            </w:r>
          </w:p>
        </w:tc>
        <w:tc>
          <w:tcPr>
            <w:tcW w:w="5707" w:type="dxa"/>
          </w:tcPr>
          <w:p w:rsidR="001700F9" w:rsidRDefault="00A54DCA" w:rsidP="00B46D4A">
            <w:pPr>
              <w:rPr>
                <w:sz w:val="24"/>
                <w:szCs w:val="24"/>
              </w:rPr>
            </w:pPr>
            <w:r>
              <w:rPr>
                <w:sz w:val="24"/>
                <w:szCs w:val="24"/>
              </w:rPr>
              <w:t>Outreach:</w:t>
            </w:r>
          </w:p>
          <w:p w:rsidR="00A54DCA" w:rsidRDefault="00A54DCA" w:rsidP="00B46D4A">
            <w:pPr>
              <w:rPr>
                <w:sz w:val="24"/>
                <w:szCs w:val="24"/>
              </w:rPr>
            </w:pPr>
            <w:r>
              <w:rPr>
                <w:sz w:val="24"/>
                <w:szCs w:val="24"/>
              </w:rPr>
              <w:t>NBRC will be creating flyers for SCs to share with their clients and families during regular meeting as well as flyers to mail to underrepresented populations on the current SDP interest list.</w:t>
            </w:r>
            <w:r w:rsidR="0087300E">
              <w:rPr>
                <w:sz w:val="24"/>
                <w:szCs w:val="24"/>
              </w:rPr>
              <w:t xml:space="preserve"> The SDP informational PowerPoint is currently available on the DDS website. NBRC has provided a link through their SDP page. </w:t>
            </w:r>
          </w:p>
          <w:p w:rsidR="00A54DCA" w:rsidRDefault="00A54DCA" w:rsidP="00B46D4A">
            <w:pPr>
              <w:rPr>
                <w:sz w:val="24"/>
                <w:szCs w:val="24"/>
              </w:rPr>
            </w:pPr>
          </w:p>
          <w:p w:rsidR="00A54DCA" w:rsidRDefault="00A54DCA" w:rsidP="00B46D4A">
            <w:pPr>
              <w:rPr>
                <w:sz w:val="24"/>
                <w:szCs w:val="24"/>
              </w:rPr>
            </w:pPr>
            <w:r>
              <w:rPr>
                <w:sz w:val="24"/>
                <w:szCs w:val="24"/>
              </w:rPr>
              <w:t xml:space="preserve">Lisa Hooks has also offered to provide envelopes, printing, and postage for the underrepresented populations on the current SDP interest list. </w:t>
            </w:r>
          </w:p>
          <w:p w:rsidR="00A54DCA" w:rsidRDefault="00A54DCA" w:rsidP="00B46D4A">
            <w:pPr>
              <w:rPr>
                <w:sz w:val="24"/>
                <w:szCs w:val="24"/>
              </w:rPr>
            </w:pPr>
          </w:p>
          <w:p w:rsidR="00A54DCA" w:rsidRDefault="00A54DCA" w:rsidP="00B46D4A">
            <w:pPr>
              <w:rPr>
                <w:sz w:val="24"/>
                <w:szCs w:val="24"/>
              </w:rPr>
            </w:pPr>
            <w:r>
              <w:rPr>
                <w:sz w:val="24"/>
                <w:szCs w:val="24"/>
              </w:rPr>
              <w:t xml:space="preserve">FMS: </w:t>
            </w:r>
          </w:p>
          <w:p w:rsidR="00627C13" w:rsidRDefault="00A54DCA" w:rsidP="00B46D4A">
            <w:pPr>
              <w:rPr>
                <w:sz w:val="24"/>
                <w:szCs w:val="24"/>
              </w:rPr>
            </w:pPr>
            <w:r>
              <w:rPr>
                <w:sz w:val="24"/>
                <w:szCs w:val="24"/>
              </w:rPr>
              <w:t xml:space="preserve">January Crane confirmed </w:t>
            </w:r>
            <w:r w:rsidR="00627C13">
              <w:rPr>
                <w:sz w:val="24"/>
                <w:szCs w:val="24"/>
              </w:rPr>
              <w:t>that FMS fees</w:t>
            </w:r>
            <w:r>
              <w:rPr>
                <w:sz w:val="24"/>
                <w:szCs w:val="24"/>
              </w:rPr>
              <w:t xml:space="preserve"> </w:t>
            </w:r>
            <w:proofErr w:type="gramStart"/>
            <w:r>
              <w:rPr>
                <w:sz w:val="24"/>
                <w:szCs w:val="24"/>
              </w:rPr>
              <w:t>will</w:t>
            </w:r>
            <w:proofErr w:type="gramEnd"/>
            <w:r>
              <w:rPr>
                <w:sz w:val="24"/>
                <w:szCs w:val="24"/>
              </w:rPr>
              <w:t xml:space="preserve"> be coming out of the individual budgets. FMS companies will have the option to provide 3 different levels of </w:t>
            </w:r>
            <w:r w:rsidR="00DB0A7F">
              <w:rPr>
                <w:sz w:val="24"/>
                <w:szCs w:val="24"/>
              </w:rPr>
              <w:t>FMS support to choose.</w:t>
            </w:r>
            <w:r w:rsidR="00627C13">
              <w:rPr>
                <w:sz w:val="24"/>
                <w:szCs w:val="24"/>
              </w:rPr>
              <w:t xml:space="preserve"> </w:t>
            </w:r>
          </w:p>
          <w:p w:rsidR="00A54DCA" w:rsidRDefault="00A54DCA" w:rsidP="00B46D4A">
            <w:pPr>
              <w:rPr>
                <w:sz w:val="24"/>
                <w:szCs w:val="24"/>
              </w:rPr>
            </w:pPr>
            <w:bookmarkStart w:id="0" w:name="_GoBack"/>
            <w:bookmarkEnd w:id="0"/>
          </w:p>
          <w:p w:rsidR="00627C13" w:rsidRDefault="00627C13" w:rsidP="00B46D4A">
            <w:pPr>
              <w:rPr>
                <w:sz w:val="24"/>
                <w:szCs w:val="24"/>
              </w:rPr>
            </w:pPr>
          </w:p>
          <w:p w:rsidR="00627C13" w:rsidRPr="00A006CD" w:rsidRDefault="00627C13" w:rsidP="00B46D4A">
            <w:pPr>
              <w:rPr>
                <w:sz w:val="24"/>
                <w:szCs w:val="24"/>
              </w:rPr>
            </w:pPr>
          </w:p>
        </w:tc>
        <w:tc>
          <w:tcPr>
            <w:tcW w:w="2046" w:type="dxa"/>
          </w:tcPr>
          <w:p w:rsidR="001700F9" w:rsidRDefault="001700F9" w:rsidP="00B46D4A">
            <w:pPr>
              <w:rPr>
                <w:noProof/>
                <w:sz w:val="24"/>
                <w:szCs w:val="24"/>
              </w:rPr>
            </w:pPr>
          </w:p>
          <w:p w:rsidR="00A54DCA" w:rsidRDefault="00A54DCA" w:rsidP="00B46D4A">
            <w:pPr>
              <w:rPr>
                <w:noProof/>
                <w:sz w:val="24"/>
                <w:szCs w:val="24"/>
              </w:rPr>
            </w:pPr>
            <w:r>
              <w:rPr>
                <w:noProof/>
                <w:sz w:val="24"/>
                <w:szCs w:val="24"/>
              </w:rPr>
              <w:t>Federal Revenue Team/ Maika O’Brien</w:t>
            </w:r>
          </w:p>
          <w:p w:rsidR="00A54DCA" w:rsidRDefault="00A54DCA" w:rsidP="00B46D4A">
            <w:pPr>
              <w:rPr>
                <w:noProof/>
                <w:sz w:val="24"/>
                <w:szCs w:val="24"/>
              </w:rPr>
            </w:pPr>
          </w:p>
          <w:p w:rsidR="00160A6B" w:rsidRDefault="00160A6B" w:rsidP="00B46D4A">
            <w:pPr>
              <w:rPr>
                <w:noProof/>
                <w:sz w:val="24"/>
                <w:szCs w:val="24"/>
              </w:rPr>
            </w:pPr>
          </w:p>
          <w:p w:rsidR="00A54DCA" w:rsidRDefault="00A54DCA" w:rsidP="00B46D4A">
            <w:pPr>
              <w:rPr>
                <w:noProof/>
                <w:sz w:val="24"/>
                <w:szCs w:val="24"/>
              </w:rPr>
            </w:pPr>
            <w:r>
              <w:rPr>
                <w:noProof/>
                <w:sz w:val="24"/>
                <w:szCs w:val="24"/>
              </w:rPr>
              <w:t>SCDD/ Lisa Hooks</w:t>
            </w:r>
          </w:p>
          <w:p w:rsidR="00160A6B" w:rsidRDefault="00160A6B" w:rsidP="00B46D4A">
            <w:pPr>
              <w:rPr>
                <w:noProof/>
                <w:sz w:val="24"/>
                <w:szCs w:val="24"/>
              </w:rPr>
            </w:pPr>
          </w:p>
          <w:p w:rsidR="00160A6B" w:rsidRDefault="00160A6B" w:rsidP="00B46D4A">
            <w:pPr>
              <w:rPr>
                <w:noProof/>
                <w:sz w:val="24"/>
                <w:szCs w:val="24"/>
              </w:rPr>
            </w:pPr>
          </w:p>
          <w:p w:rsidR="00160A6B" w:rsidRDefault="00160A6B" w:rsidP="00B46D4A">
            <w:pPr>
              <w:rPr>
                <w:noProof/>
                <w:sz w:val="24"/>
                <w:szCs w:val="24"/>
              </w:rPr>
            </w:pPr>
          </w:p>
          <w:p w:rsidR="00160A6B" w:rsidRDefault="00160A6B" w:rsidP="00B46D4A">
            <w:pPr>
              <w:rPr>
                <w:noProof/>
                <w:sz w:val="24"/>
                <w:szCs w:val="24"/>
              </w:rPr>
            </w:pPr>
          </w:p>
          <w:p w:rsidR="00160A6B" w:rsidRDefault="00160A6B" w:rsidP="00B46D4A">
            <w:pPr>
              <w:rPr>
                <w:noProof/>
                <w:sz w:val="24"/>
                <w:szCs w:val="24"/>
              </w:rPr>
            </w:pPr>
          </w:p>
          <w:p w:rsidR="00160A6B" w:rsidRPr="00A006CD" w:rsidRDefault="00160A6B" w:rsidP="00B46D4A">
            <w:pPr>
              <w:rPr>
                <w:noProof/>
                <w:sz w:val="24"/>
                <w:szCs w:val="24"/>
              </w:rPr>
            </w:pPr>
            <w:r>
              <w:rPr>
                <w:noProof/>
                <w:sz w:val="24"/>
                <w:szCs w:val="24"/>
              </w:rPr>
              <w:t>January Crane</w:t>
            </w:r>
          </w:p>
        </w:tc>
      </w:tr>
      <w:tr w:rsidR="001700F9" w:rsidRPr="00A006CD" w:rsidTr="00050BDA">
        <w:trPr>
          <w:trHeight w:val="282"/>
        </w:trPr>
        <w:tc>
          <w:tcPr>
            <w:tcW w:w="1804" w:type="dxa"/>
          </w:tcPr>
          <w:p w:rsidR="001700F9" w:rsidRPr="00A006CD" w:rsidRDefault="00627C13" w:rsidP="00226F9D">
            <w:pPr>
              <w:jc w:val="center"/>
              <w:rPr>
                <w:noProof/>
                <w:sz w:val="24"/>
                <w:szCs w:val="24"/>
              </w:rPr>
            </w:pPr>
            <w:r>
              <w:rPr>
                <w:noProof/>
                <w:sz w:val="24"/>
                <w:szCs w:val="24"/>
              </w:rPr>
              <w:lastRenderedPageBreak/>
              <w:t>Statewide SDP Advisory Committee Update</w:t>
            </w:r>
          </w:p>
        </w:tc>
        <w:tc>
          <w:tcPr>
            <w:tcW w:w="5707" w:type="dxa"/>
          </w:tcPr>
          <w:p w:rsidR="001700F9" w:rsidRPr="00A006CD" w:rsidRDefault="00627C13" w:rsidP="00B46D4A">
            <w:pPr>
              <w:rPr>
                <w:noProof/>
                <w:sz w:val="24"/>
                <w:szCs w:val="24"/>
              </w:rPr>
            </w:pPr>
            <w:r>
              <w:rPr>
                <w:noProof/>
                <w:sz w:val="24"/>
                <w:szCs w:val="24"/>
              </w:rPr>
              <w:t xml:space="preserve">The waiver application was submitted March 13, 2018. DHCS is still waiting for the federal response. </w:t>
            </w:r>
          </w:p>
        </w:tc>
        <w:tc>
          <w:tcPr>
            <w:tcW w:w="2046" w:type="dxa"/>
          </w:tcPr>
          <w:p w:rsidR="001700F9" w:rsidRPr="00A006CD" w:rsidRDefault="001700F9" w:rsidP="00B46D4A">
            <w:pPr>
              <w:rPr>
                <w:noProof/>
                <w:sz w:val="24"/>
                <w:szCs w:val="24"/>
              </w:rPr>
            </w:pPr>
          </w:p>
        </w:tc>
      </w:tr>
      <w:tr w:rsidR="00627C13" w:rsidRPr="00A006CD" w:rsidTr="00050BDA">
        <w:trPr>
          <w:trHeight w:val="282"/>
        </w:trPr>
        <w:tc>
          <w:tcPr>
            <w:tcW w:w="1804" w:type="dxa"/>
          </w:tcPr>
          <w:p w:rsidR="00627C13" w:rsidRDefault="00627C13" w:rsidP="00226F9D">
            <w:pPr>
              <w:jc w:val="center"/>
              <w:rPr>
                <w:noProof/>
                <w:sz w:val="24"/>
                <w:szCs w:val="24"/>
              </w:rPr>
            </w:pPr>
            <w:r>
              <w:rPr>
                <w:noProof/>
                <w:sz w:val="24"/>
                <w:szCs w:val="24"/>
              </w:rPr>
              <w:t>Announcments</w:t>
            </w:r>
          </w:p>
        </w:tc>
        <w:tc>
          <w:tcPr>
            <w:tcW w:w="5707" w:type="dxa"/>
          </w:tcPr>
          <w:p w:rsidR="00627C13" w:rsidRDefault="00627C13" w:rsidP="00B46D4A">
            <w:pPr>
              <w:rPr>
                <w:noProof/>
                <w:sz w:val="24"/>
                <w:szCs w:val="24"/>
              </w:rPr>
            </w:pPr>
            <w:r>
              <w:rPr>
                <w:noProof/>
                <w:sz w:val="24"/>
                <w:szCs w:val="24"/>
              </w:rPr>
              <w:t xml:space="preserve">There is one more SDP informational meeting scheduled at NBRC North Bay. Once the Federal Revenue team has a new supervisor on board more will be scheduled in English and Spanish. </w:t>
            </w:r>
          </w:p>
        </w:tc>
        <w:tc>
          <w:tcPr>
            <w:tcW w:w="2046" w:type="dxa"/>
          </w:tcPr>
          <w:p w:rsidR="00627C13" w:rsidRPr="00A006CD" w:rsidRDefault="00627C13" w:rsidP="00B46D4A">
            <w:pPr>
              <w:rPr>
                <w:noProof/>
                <w:sz w:val="24"/>
                <w:szCs w:val="24"/>
              </w:rPr>
            </w:pPr>
            <w:r>
              <w:rPr>
                <w:noProof/>
                <w:sz w:val="24"/>
                <w:szCs w:val="24"/>
              </w:rPr>
              <w:t>Federal Revenue Team</w:t>
            </w:r>
          </w:p>
        </w:tc>
      </w:tr>
      <w:tr w:rsidR="00627C13" w:rsidRPr="00A006CD" w:rsidTr="00050BDA">
        <w:trPr>
          <w:trHeight w:val="282"/>
        </w:trPr>
        <w:tc>
          <w:tcPr>
            <w:tcW w:w="1804" w:type="dxa"/>
          </w:tcPr>
          <w:p w:rsidR="00627C13" w:rsidRDefault="00627C13" w:rsidP="00226F9D">
            <w:pPr>
              <w:jc w:val="center"/>
              <w:rPr>
                <w:noProof/>
                <w:sz w:val="24"/>
                <w:szCs w:val="24"/>
              </w:rPr>
            </w:pPr>
            <w:r>
              <w:rPr>
                <w:noProof/>
                <w:sz w:val="24"/>
                <w:szCs w:val="24"/>
              </w:rPr>
              <w:t>Mext meeting</w:t>
            </w:r>
          </w:p>
        </w:tc>
        <w:tc>
          <w:tcPr>
            <w:tcW w:w="5707" w:type="dxa"/>
          </w:tcPr>
          <w:p w:rsidR="00627C13" w:rsidRDefault="00627C13" w:rsidP="00B46D4A">
            <w:pPr>
              <w:rPr>
                <w:noProof/>
                <w:sz w:val="24"/>
                <w:szCs w:val="24"/>
              </w:rPr>
            </w:pPr>
            <w:r>
              <w:rPr>
                <w:noProof/>
                <w:sz w:val="24"/>
                <w:szCs w:val="24"/>
              </w:rPr>
              <w:t xml:space="preserve">The next meeting is scheduled for June 11, 2018 from 12:00-1:30 PM. </w:t>
            </w:r>
          </w:p>
        </w:tc>
        <w:tc>
          <w:tcPr>
            <w:tcW w:w="2046" w:type="dxa"/>
          </w:tcPr>
          <w:p w:rsidR="00627C13" w:rsidRDefault="00160A6B" w:rsidP="00B46D4A">
            <w:pPr>
              <w:rPr>
                <w:noProof/>
                <w:sz w:val="24"/>
                <w:szCs w:val="24"/>
              </w:rPr>
            </w:pPr>
            <w:r>
              <w:rPr>
                <w:noProof/>
                <w:sz w:val="24"/>
                <w:szCs w:val="24"/>
              </w:rPr>
              <w:t xml:space="preserve">Committee Members </w:t>
            </w:r>
          </w:p>
        </w:tc>
      </w:tr>
      <w:tr w:rsidR="00627C13" w:rsidRPr="00A006CD" w:rsidTr="00050BDA">
        <w:trPr>
          <w:trHeight w:val="282"/>
        </w:trPr>
        <w:tc>
          <w:tcPr>
            <w:tcW w:w="1804" w:type="dxa"/>
          </w:tcPr>
          <w:p w:rsidR="00627C13" w:rsidRDefault="00627C13" w:rsidP="00226F9D">
            <w:pPr>
              <w:jc w:val="center"/>
              <w:rPr>
                <w:noProof/>
                <w:sz w:val="24"/>
                <w:szCs w:val="24"/>
              </w:rPr>
            </w:pPr>
            <w:r>
              <w:rPr>
                <w:rFonts w:ascii="Tw Cen MT" w:eastAsia="Arial" w:hAnsi="Tw Cen MT" w:cs="Arial"/>
                <w:noProof/>
                <w:sz w:val="28"/>
                <w:szCs w:val="28"/>
              </w:rPr>
              <w:drawing>
                <wp:inline distT="0" distB="0" distL="0" distR="0" wp14:anchorId="2B357563" wp14:editId="3CE515C2">
                  <wp:extent cx="673913" cy="43799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journ.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3913" cy="437998"/>
                          </a:xfrm>
                          <a:prstGeom prst="rect">
                            <a:avLst/>
                          </a:prstGeom>
                        </pic:spPr>
                      </pic:pic>
                    </a:graphicData>
                  </a:graphic>
                </wp:inline>
              </w:drawing>
            </w:r>
          </w:p>
        </w:tc>
        <w:tc>
          <w:tcPr>
            <w:tcW w:w="5707" w:type="dxa"/>
          </w:tcPr>
          <w:p w:rsidR="00627C13" w:rsidRDefault="00627C13" w:rsidP="00B46D4A">
            <w:pPr>
              <w:rPr>
                <w:noProof/>
                <w:sz w:val="24"/>
                <w:szCs w:val="24"/>
              </w:rPr>
            </w:pPr>
            <w:r>
              <w:rPr>
                <w:noProof/>
                <w:sz w:val="24"/>
                <w:szCs w:val="24"/>
              </w:rPr>
              <w:t xml:space="preserve">Adjournement </w:t>
            </w:r>
          </w:p>
        </w:tc>
        <w:tc>
          <w:tcPr>
            <w:tcW w:w="2046" w:type="dxa"/>
          </w:tcPr>
          <w:p w:rsidR="00627C13" w:rsidRDefault="00627C13" w:rsidP="00B46D4A">
            <w:pPr>
              <w:rPr>
                <w:noProof/>
                <w:sz w:val="24"/>
                <w:szCs w:val="24"/>
              </w:rPr>
            </w:pPr>
            <w:r>
              <w:rPr>
                <w:noProof/>
                <w:sz w:val="24"/>
                <w:szCs w:val="24"/>
              </w:rPr>
              <w:t>Sonia Jones, Chair</w:t>
            </w:r>
          </w:p>
        </w:tc>
      </w:tr>
    </w:tbl>
    <w:p w:rsidR="00212E5C" w:rsidRDefault="00212E5C" w:rsidP="00B46D4A">
      <w:pPr>
        <w:rPr>
          <w:noProof/>
          <w:sz w:val="32"/>
          <w:szCs w:val="32"/>
        </w:rPr>
      </w:pPr>
    </w:p>
    <w:p w:rsidR="00627C13" w:rsidRPr="002261AB" w:rsidRDefault="00627C13" w:rsidP="00627C13">
      <w:pPr>
        <w:tabs>
          <w:tab w:val="left" w:pos="1300"/>
          <w:tab w:val="left" w:pos="2070"/>
        </w:tabs>
        <w:spacing w:before="58"/>
        <w:ind w:left="270" w:right="181"/>
        <w:rPr>
          <w:rStyle w:val="Hyperlink"/>
          <w:rFonts w:ascii="Tw Cen MT" w:hAnsi="Tw Cen MT"/>
          <w:sz w:val="28"/>
          <w:szCs w:val="28"/>
        </w:rPr>
      </w:pPr>
      <w:r w:rsidRPr="00C015F3">
        <w:rPr>
          <w:rFonts w:ascii="Tw Cen MT" w:hAnsi="Tw Cen MT"/>
          <w:sz w:val="28"/>
          <w:szCs w:val="28"/>
        </w:rPr>
        <w:t xml:space="preserve">Pursuant to </w:t>
      </w:r>
      <w:proofErr w:type="gramStart"/>
      <w:r w:rsidRPr="00C015F3">
        <w:rPr>
          <w:rFonts w:ascii="Tw Cen MT" w:hAnsi="Tw Cen MT"/>
          <w:sz w:val="28"/>
          <w:szCs w:val="28"/>
        </w:rPr>
        <w:t>Government</w:t>
      </w:r>
      <w:proofErr w:type="gramEnd"/>
      <w:r w:rsidRPr="00C015F3">
        <w:rPr>
          <w:rFonts w:ascii="Tw Cen MT" w:hAnsi="Tw Cen MT"/>
          <w:sz w:val="28"/>
          <w:szCs w:val="28"/>
        </w:rPr>
        <w:t xml:space="preserve"> code Sections 11123.1 and 11125(f), individuals with disabilities who require accessible alternative formats of the agenda and related meeting materials and/or auxiliary aids/services to participate in</w:t>
      </w:r>
      <w:r>
        <w:rPr>
          <w:rFonts w:ascii="Tw Cen MT" w:hAnsi="Tw Cen MT"/>
          <w:sz w:val="28"/>
          <w:szCs w:val="28"/>
        </w:rPr>
        <w:t xml:space="preserve"> this meeting should contact Maika O’Brien at 707-256-1133</w:t>
      </w:r>
      <w:r w:rsidRPr="00C015F3">
        <w:rPr>
          <w:rFonts w:ascii="Tw Cen MT" w:hAnsi="Tw Cen MT"/>
          <w:sz w:val="28"/>
          <w:szCs w:val="28"/>
        </w:rPr>
        <w:t xml:space="preserve"> or </w:t>
      </w:r>
      <w:r>
        <w:rPr>
          <w:rFonts w:ascii="Tw Cen MT" w:hAnsi="Tw Cen MT"/>
          <w:sz w:val="28"/>
          <w:szCs w:val="28"/>
        </w:rPr>
        <w:t xml:space="preserve">MaikaO@nbrc.net. Self-Determination Advisory Committee Agenda </w:t>
      </w:r>
      <w:proofErr w:type="gramStart"/>
      <w:r>
        <w:rPr>
          <w:rFonts w:ascii="Tw Cen MT" w:hAnsi="Tw Cen MT"/>
          <w:sz w:val="28"/>
          <w:szCs w:val="28"/>
        </w:rPr>
        <w:t>is posted</w:t>
      </w:r>
      <w:proofErr w:type="gramEnd"/>
      <w:r>
        <w:rPr>
          <w:rFonts w:ascii="Tw Cen MT" w:hAnsi="Tw Cen MT"/>
          <w:sz w:val="28"/>
          <w:szCs w:val="28"/>
        </w:rPr>
        <w:t xml:space="preserve"> on</w:t>
      </w:r>
      <w:r w:rsidRPr="00BE2C80">
        <w:rPr>
          <w:rFonts w:ascii="Tw Cen MT" w:hAnsi="Tw Cen MT"/>
          <w:sz w:val="28"/>
          <w:szCs w:val="28"/>
        </w:rPr>
        <w:t xml:space="preserve"> </w:t>
      </w:r>
      <w:r w:rsidRPr="009056CA">
        <w:rPr>
          <w:rFonts w:ascii="Tw Cen MT" w:hAnsi="Tw Cen MT"/>
          <w:sz w:val="28"/>
          <w:szCs w:val="28"/>
          <w:u w:val="single"/>
        </w:rPr>
        <w:t>nbrc.net</w:t>
      </w:r>
      <w:r>
        <w:rPr>
          <w:rFonts w:ascii="Tw Cen MT" w:hAnsi="Tw Cen MT"/>
          <w:sz w:val="28"/>
          <w:szCs w:val="28"/>
        </w:rPr>
        <w:t xml:space="preserve"> and </w:t>
      </w:r>
      <w:r w:rsidRPr="009056CA">
        <w:rPr>
          <w:rFonts w:ascii="Tw Cen MT" w:hAnsi="Tw Cen MT"/>
          <w:sz w:val="28"/>
          <w:szCs w:val="28"/>
          <w:u w:val="single"/>
        </w:rPr>
        <w:t>scdd.ca.gov</w:t>
      </w:r>
      <w:r>
        <w:rPr>
          <w:rFonts w:ascii="Tw Cen MT" w:hAnsi="Tw Cen MT"/>
          <w:sz w:val="28"/>
          <w:szCs w:val="28"/>
        </w:rPr>
        <w:t>.</w:t>
      </w:r>
    </w:p>
    <w:p w:rsidR="00B46D4A" w:rsidRPr="00B46D4A" w:rsidRDefault="00B46D4A" w:rsidP="00B46D4A">
      <w:pPr>
        <w:jc w:val="center"/>
        <w:rPr>
          <w:noProof/>
          <w:sz w:val="32"/>
          <w:szCs w:val="32"/>
        </w:rPr>
      </w:pPr>
    </w:p>
    <w:sectPr w:rsidR="00B46D4A" w:rsidRPr="00B46D4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CF6" w:rsidRDefault="002C3CF6" w:rsidP="00CA7A42">
      <w:pPr>
        <w:spacing w:after="0" w:line="240" w:lineRule="auto"/>
      </w:pPr>
      <w:r>
        <w:separator/>
      </w:r>
    </w:p>
  </w:endnote>
  <w:endnote w:type="continuationSeparator" w:id="0">
    <w:p w:rsidR="002C3CF6" w:rsidRDefault="002C3CF6" w:rsidP="00CA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CF6" w:rsidRDefault="002C3CF6" w:rsidP="00CA7A42">
      <w:pPr>
        <w:spacing w:after="0" w:line="240" w:lineRule="auto"/>
      </w:pPr>
      <w:r>
        <w:separator/>
      </w:r>
    </w:p>
  </w:footnote>
  <w:footnote w:type="continuationSeparator" w:id="0">
    <w:p w:rsidR="002C3CF6" w:rsidRDefault="002C3CF6" w:rsidP="00CA7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A42" w:rsidRPr="00CA7A42" w:rsidRDefault="00CA7A42" w:rsidP="00CA7A42">
    <w:pPr>
      <w:pStyle w:val="Header"/>
      <w:jc w:val="center"/>
    </w:pPr>
    <w:r>
      <w:rPr>
        <w:noProof/>
      </w:rPr>
      <w:drawing>
        <wp:inline distT="0" distB="0" distL="0" distR="0">
          <wp:extent cx="1140031" cy="637076"/>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DD logo.png"/>
                  <pic:cNvPicPr/>
                </pic:nvPicPr>
                <pic:blipFill>
                  <a:blip r:embed="rId1">
                    <a:extLst>
                      <a:ext uri="{28A0092B-C50C-407E-A947-70E740481C1C}">
                        <a14:useLocalDpi xmlns:a14="http://schemas.microsoft.com/office/drawing/2010/main" val="0"/>
                      </a:ext>
                    </a:extLst>
                  </a:blip>
                  <a:stretch>
                    <a:fillRect/>
                  </a:stretch>
                </pic:blipFill>
                <pic:spPr>
                  <a:xfrm>
                    <a:off x="0" y="0"/>
                    <a:ext cx="1155398" cy="645663"/>
                  </a:xfrm>
                  <a:prstGeom prst="rect">
                    <a:avLst/>
                  </a:prstGeom>
                </pic:spPr>
              </pic:pic>
            </a:graphicData>
          </a:graphic>
        </wp:inline>
      </w:drawing>
    </w:r>
    <w:r>
      <w:tab/>
    </w:r>
    <w:r>
      <w:rPr>
        <w:rFonts w:cstheme="minorHAnsi"/>
        <w:b/>
        <w:sz w:val="40"/>
        <w:szCs w:val="40"/>
      </w:rPr>
      <w:tab/>
      <w:t xml:space="preserve">       </w:t>
    </w:r>
    <w:r>
      <w:rPr>
        <w:noProof/>
      </w:rPr>
      <w:drawing>
        <wp:inline distT="0" distB="0" distL="0" distR="0">
          <wp:extent cx="1721922" cy="453137"/>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2">
                    <a:extLst>
                      <a:ext uri="{28A0092B-C50C-407E-A947-70E740481C1C}">
                        <a14:useLocalDpi xmlns:a14="http://schemas.microsoft.com/office/drawing/2010/main" val="0"/>
                      </a:ext>
                    </a:extLst>
                  </a:blip>
                  <a:stretch>
                    <a:fillRect/>
                  </a:stretch>
                </pic:blipFill>
                <pic:spPr>
                  <a:xfrm>
                    <a:off x="0" y="0"/>
                    <a:ext cx="1805467" cy="47512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D15AE"/>
    <w:multiLevelType w:val="hybridMultilevel"/>
    <w:tmpl w:val="C38E91DA"/>
    <w:lvl w:ilvl="0" w:tplc="6748A2B0">
      <w:start w:val="235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83A"/>
    <w:rsid w:val="00050BDA"/>
    <w:rsid w:val="000A3080"/>
    <w:rsid w:val="00103405"/>
    <w:rsid w:val="00160A6B"/>
    <w:rsid w:val="0017001B"/>
    <w:rsid w:val="001700F9"/>
    <w:rsid w:val="00212E5C"/>
    <w:rsid w:val="00226F9D"/>
    <w:rsid w:val="002B483A"/>
    <w:rsid w:val="002C3CF6"/>
    <w:rsid w:val="00627C13"/>
    <w:rsid w:val="00676221"/>
    <w:rsid w:val="0087300E"/>
    <w:rsid w:val="00936BE6"/>
    <w:rsid w:val="009810FB"/>
    <w:rsid w:val="009F0F7E"/>
    <w:rsid w:val="00A006CD"/>
    <w:rsid w:val="00A3425A"/>
    <w:rsid w:val="00A54DCA"/>
    <w:rsid w:val="00B46D4A"/>
    <w:rsid w:val="00C51414"/>
    <w:rsid w:val="00CA7A42"/>
    <w:rsid w:val="00CD4D18"/>
    <w:rsid w:val="00DB0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88524"/>
  <w15:chartTrackingRefBased/>
  <w15:docId w15:val="{EA0DC2EA-BA8B-424D-ADD4-497068C1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A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A42"/>
  </w:style>
  <w:style w:type="paragraph" w:styleId="Footer">
    <w:name w:val="footer"/>
    <w:basedOn w:val="Normal"/>
    <w:link w:val="FooterChar"/>
    <w:uiPriority w:val="99"/>
    <w:unhideWhenUsed/>
    <w:rsid w:val="00CA7A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A42"/>
  </w:style>
  <w:style w:type="table" w:styleId="TableGrid">
    <w:name w:val="Table Grid"/>
    <w:basedOn w:val="TableNormal"/>
    <w:uiPriority w:val="39"/>
    <w:rsid w:val="00212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080"/>
    <w:pPr>
      <w:ind w:left="720"/>
      <w:contextualSpacing/>
    </w:pPr>
  </w:style>
  <w:style w:type="character" w:styleId="Hyperlink">
    <w:name w:val="Hyperlink"/>
    <w:basedOn w:val="DefaultParagraphFont"/>
    <w:uiPriority w:val="99"/>
    <w:unhideWhenUsed/>
    <w:rsid w:val="00627C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Maika O'Brien Ext.1133 (VFB)</dc:creator>
  <cp:keywords/>
  <dc:description/>
  <cp:lastModifiedBy>January Crane Ext.1256</cp:lastModifiedBy>
  <cp:revision>2</cp:revision>
  <dcterms:created xsi:type="dcterms:W3CDTF">2018-06-01T23:41:00Z</dcterms:created>
  <dcterms:modified xsi:type="dcterms:W3CDTF">2018-06-01T23:41:00Z</dcterms:modified>
</cp:coreProperties>
</file>