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500BB4" w14:textId="77777777" w:rsidR="00242EB3" w:rsidRDefault="00000000">
      <w:pPr>
        <w:spacing w:line="240" w:lineRule="auto"/>
        <w:ind w:left="-720"/>
        <w:rPr>
          <w:rFonts w:asciiTheme="majorHAnsi" w:eastAsia="Assistant" w:hAnsiTheme="majorHAnsi" w:cstheme="majorHAnsi"/>
          <w:b/>
          <w:sz w:val="28"/>
          <w:szCs w:val="28"/>
        </w:rPr>
      </w:pPr>
      <w:r>
        <w:rPr>
          <w:rFonts w:asciiTheme="majorHAnsi" w:eastAsia="Assistant" w:hAnsiTheme="majorHAnsi" w:cstheme="majorHAnsi"/>
          <w:b/>
          <w:noProof/>
          <w:color w:val="365F91" w:themeColor="accent1" w:themeShade="BF"/>
          <w:sz w:val="28"/>
          <w:szCs w:val="28"/>
          <w:lang w:val="en-US"/>
        </w:rPr>
        <w:drawing>
          <wp:anchor distT="0" distB="0" distL="114300" distR="114300" simplePos="0" relativeHeight="251665408" behindDoc="1" locked="0" layoutInCell="1" allowOverlap="1" wp14:anchorId="25FEAAA4" wp14:editId="79CB517B">
            <wp:simplePos x="0" y="0"/>
            <wp:positionH relativeFrom="column">
              <wp:posOffset>-380365</wp:posOffset>
            </wp:positionH>
            <wp:positionV relativeFrom="paragraph">
              <wp:posOffset>-359410</wp:posOffset>
            </wp:positionV>
            <wp:extent cx="723900" cy="691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1325"/>
                    </a:xfrm>
                    <a:prstGeom prst="rect">
                      <a:avLst/>
                    </a:prstGeom>
                  </pic:spPr>
                </pic:pic>
              </a:graphicData>
            </a:graphic>
            <wp14:sizeRelH relativeFrom="margin">
              <wp14:pctWidth>0</wp14:pctWidth>
            </wp14:sizeRelH>
            <wp14:sizeRelV relativeFrom="margin">
              <wp14:pctHeight>0</wp14:pctHeight>
            </wp14:sizeRelV>
          </wp:anchor>
        </w:drawing>
      </w:r>
    </w:p>
    <w:p w14:paraId="3ADDB7DB" w14:textId="77777777" w:rsidR="00EC7BF1" w:rsidRDefault="00EC7BF1" w:rsidP="002F32A5">
      <w:pPr>
        <w:spacing w:line="240" w:lineRule="auto"/>
        <w:rPr>
          <w:rFonts w:asciiTheme="majorHAnsi" w:eastAsia="Assistant" w:hAnsiTheme="majorHAnsi" w:cstheme="majorHAnsi"/>
          <w:b/>
          <w:sz w:val="28"/>
          <w:szCs w:val="28"/>
        </w:rPr>
      </w:pPr>
    </w:p>
    <w:p w14:paraId="66E320A0" w14:textId="77777777" w:rsidR="00242EB3" w:rsidRPr="00D27A9C" w:rsidRDefault="00000000">
      <w:pPr>
        <w:spacing w:line="240" w:lineRule="auto"/>
        <w:ind w:left="-720"/>
        <w:rPr>
          <w:rFonts w:asciiTheme="majorHAnsi" w:eastAsia="Assistant" w:hAnsiTheme="majorHAnsi" w:cstheme="majorHAnsi"/>
          <w:b/>
          <w:sz w:val="32"/>
          <w:szCs w:val="32"/>
        </w:rPr>
      </w:pPr>
      <w:r w:rsidRPr="00D27A9C">
        <w:rPr>
          <w:rFonts w:asciiTheme="majorHAnsi" w:eastAsia="Assistant" w:hAnsiTheme="majorHAnsi" w:cstheme="majorHAnsi"/>
          <w:b/>
          <w:sz w:val="32"/>
          <w:szCs w:val="32"/>
        </w:rPr>
        <w:t>Centro Regional del Norte de la Bahía</w:t>
      </w:r>
      <w:r w:rsidR="003B2229" w:rsidRPr="00D27A9C">
        <w:rPr>
          <w:rFonts w:asciiTheme="majorHAnsi" w:eastAsia="Assistant" w:hAnsiTheme="majorHAnsi" w:cstheme="majorHAnsi"/>
          <w:b/>
          <w:sz w:val="32"/>
          <w:szCs w:val="32"/>
        </w:rPr>
        <w:br/>
      </w:r>
    </w:p>
    <w:p w14:paraId="326792B0" w14:textId="447E8B2D" w:rsidR="00242EB3" w:rsidRPr="00D27A9C" w:rsidRDefault="00D27A9C">
      <w:pPr>
        <w:spacing w:line="240" w:lineRule="auto"/>
        <w:ind w:left="-720"/>
        <w:rPr>
          <w:rFonts w:asciiTheme="majorHAnsi" w:eastAsia="Assistant" w:hAnsiTheme="majorHAnsi" w:cstheme="majorHAnsi"/>
          <w:b/>
          <w:sz w:val="40"/>
          <w:szCs w:val="40"/>
        </w:rPr>
      </w:pPr>
      <w:r w:rsidRPr="00D27A9C">
        <w:rPr>
          <w:rFonts w:asciiTheme="majorHAnsi" w:eastAsia="Assistant" w:hAnsiTheme="majorHAnsi" w:cstheme="majorHAnsi"/>
          <w:b/>
          <w:sz w:val="40"/>
          <w:szCs w:val="40"/>
        </w:rPr>
        <w:t xml:space="preserve">Reunión Especial del Comité </w:t>
      </w:r>
      <w:r w:rsidR="00D66597" w:rsidRPr="00D27A9C">
        <w:rPr>
          <w:rFonts w:asciiTheme="majorHAnsi" w:eastAsia="Assistant" w:hAnsiTheme="majorHAnsi" w:cstheme="majorHAnsi"/>
          <w:b/>
          <w:sz w:val="40"/>
          <w:szCs w:val="40"/>
        </w:rPr>
        <w:br/>
      </w:r>
      <w:r w:rsidRPr="00D27A9C">
        <w:rPr>
          <w:rFonts w:asciiTheme="majorHAnsi" w:eastAsia="Assistant" w:hAnsiTheme="majorHAnsi" w:cstheme="majorHAnsi"/>
          <w:b/>
          <w:sz w:val="40"/>
          <w:szCs w:val="40"/>
        </w:rPr>
        <w:t>Consultivo de Autodeterminación</w:t>
      </w:r>
    </w:p>
    <w:p w14:paraId="4A732761" w14:textId="77777777" w:rsidR="00D66597" w:rsidRDefault="00D66597" w:rsidP="00D90D1E">
      <w:pPr>
        <w:spacing w:line="240" w:lineRule="auto"/>
        <w:rPr>
          <w:rFonts w:asciiTheme="majorHAnsi" w:eastAsia="Assistant" w:hAnsiTheme="majorHAnsi" w:cstheme="majorHAnsi"/>
          <w:b/>
          <w:sz w:val="44"/>
          <w:szCs w:val="44"/>
        </w:rPr>
      </w:pPr>
    </w:p>
    <w:p w14:paraId="3EBA8BFB" w14:textId="77777777" w:rsidR="00242EB3" w:rsidRPr="00D27A9C" w:rsidRDefault="00000000">
      <w:pPr>
        <w:spacing w:line="240" w:lineRule="auto"/>
        <w:rPr>
          <w:rFonts w:asciiTheme="majorHAnsi" w:eastAsia="Assistant" w:hAnsiTheme="majorHAnsi" w:cstheme="majorHAnsi"/>
          <w:b/>
          <w:sz w:val="40"/>
          <w:szCs w:val="40"/>
        </w:rPr>
      </w:pPr>
      <w:r w:rsidRPr="00D27A9C">
        <w:rPr>
          <w:rFonts w:asciiTheme="majorHAnsi" w:eastAsia="Assistant" w:hAnsiTheme="majorHAnsi" w:cstheme="majorHAnsi"/>
          <w:b/>
          <w:sz w:val="40"/>
          <w:szCs w:val="40"/>
        </w:rPr>
        <w:t>8 de julio de 2024</w:t>
      </w:r>
    </w:p>
    <w:p w14:paraId="1598EA90" w14:textId="7A522F42" w:rsidR="00242EB3" w:rsidRPr="00D27A9C" w:rsidRDefault="00000000">
      <w:pPr>
        <w:spacing w:line="240" w:lineRule="auto"/>
        <w:ind w:left="-720" w:firstLine="720"/>
        <w:rPr>
          <w:rFonts w:asciiTheme="majorHAnsi" w:eastAsia="Assistant" w:hAnsiTheme="majorHAnsi" w:cstheme="majorHAnsi"/>
          <w:b/>
          <w:sz w:val="32"/>
          <w:szCs w:val="32"/>
        </w:rPr>
        <w:sectPr w:rsidR="00242EB3" w:rsidRPr="00D27A9C" w:rsidSect="00BA216B">
          <w:headerReference w:type="default" r:id="rId11"/>
          <w:footerReference w:type="default" r:id="rId12"/>
          <w:pgSz w:w="12240" w:h="15840"/>
          <w:pgMar w:top="900" w:right="1440" w:bottom="1440" w:left="1440" w:header="720" w:footer="720" w:gutter="0"/>
          <w:pgNumType w:start="1"/>
          <w:cols w:space="720"/>
          <w:docGrid w:linePitch="299"/>
        </w:sectPr>
      </w:pPr>
      <w:r w:rsidRPr="00D27A9C">
        <w:rPr>
          <w:rFonts w:asciiTheme="majorHAnsi" w:eastAsia="Assistant" w:hAnsiTheme="majorHAnsi" w:cstheme="majorHAnsi"/>
          <w:b/>
          <w:sz w:val="32"/>
          <w:szCs w:val="32"/>
        </w:rPr>
        <w:t>12</w:t>
      </w:r>
      <w:r w:rsidR="00D90D1E" w:rsidRPr="00D27A9C">
        <w:rPr>
          <w:rFonts w:asciiTheme="majorHAnsi" w:eastAsia="Assistant" w:hAnsiTheme="majorHAnsi" w:cstheme="majorHAnsi"/>
          <w:b/>
          <w:sz w:val="32"/>
          <w:szCs w:val="32"/>
        </w:rPr>
        <w:t>:</w:t>
      </w:r>
      <w:r w:rsidRPr="00D27A9C">
        <w:rPr>
          <w:rFonts w:asciiTheme="majorHAnsi" w:eastAsia="Assistant" w:hAnsiTheme="majorHAnsi" w:cstheme="majorHAnsi"/>
          <w:b/>
          <w:sz w:val="32"/>
          <w:szCs w:val="32"/>
        </w:rPr>
        <w:t>30</w:t>
      </w:r>
      <w:r w:rsidR="00D27A9C" w:rsidRPr="00D27A9C">
        <w:rPr>
          <w:rFonts w:asciiTheme="majorHAnsi" w:eastAsia="Assistant" w:hAnsiTheme="majorHAnsi" w:cstheme="majorHAnsi"/>
          <w:b/>
          <w:sz w:val="32"/>
          <w:szCs w:val="32"/>
        </w:rPr>
        <w:t xml:space="preserve"> pm</w:t>
      </w:r>
      <w:r w:rsidRPr="00D27A9C">
        <w:rPr>
          <w:rFonts w:asciiTheme="majorHAnsi" w:eastAsia="Assistant" w:hAnsiTheme="majorHAnsi" w:cstheme="majorHAnsi"/>
          <w:b/>
          <w:sz w:val="32"/>
          <w:szCs w:val="32"/>
        </w:rPr>
        <w:t xml:space="preserve"> </w:t>
      </w:r>
      <w:r w:rsidR="00D27A9C" w:rsidRPr="00D27A9C">
        <w:rPr>
          <w:rFonts w:asciiTheme="majorHAnsi" w:eastAsia="Assistant" w:hAnsiTheme="majorHAnsi" w:cstheme="majorHAnsi"/>
          <w:b/>
          <w:sz w:val="32"/>
          <w:szCs w:val="32"/>
        </w:rPr>
        <w:t>–</w:t>
      </w:r>
      <w:r w:rsidRPr="00D27A9C">
        <w:rPr>
          <w:rFonts w:asciiTheme="majorHAnsi" w:eastAsia="Assistant" w:hAnsiTheme="majorHAnsi" w:cstheme="majorHAnsi"/>
          <w:b/>
          <w:sz w:val="32"/>
          <w:szCs w:val="32"/>
        </w:rPr>
        <w:t xml:space="preserve"> </w:t>
      </w:r>
      <w:r w:rsidR="00D27A9C" w:rsidRPr="00D27A9C">
        <w:rPr>
          <w:rFonts w:asciiTheme="majorHAnsi" w:eastAsia="Assistant" w:hAnsiTheme="majorHAnsi" w:cstheme="majorHAnsi"/>
          <w:b/>
          <w:sz w:val="32"/>
          <w:szCs w:val="32"/>
        </w:rPr>
        <w:t>2 pm</w:t>
      </w:r>
    </w:p>
    <w:p w14:paraId="266B49A4" w14:textId="77777777" w:rsidR="00BF2EE0" w:rsidRDefault="00BF2EE0" w:rsidP="00AC6736">
      <w:pPr>
        <w:spacing w:line="240" w:lineRule="auto"/>
        <w:rPr>
          <w:rFonts w:asciiTheme="majorHAnsi" w:eastAsia="Assistant" w:hAnsiTheme="majorHAnsi" w:cstheme="majorHAnsi"/>
          <w:b/>
          <w:color w:val="365F91" w:themeColor="accent1" w:themeShade="BF"/>
          <w:sz w:val="44"/>
          <w:szCs w:val="44"/>
        </w:rPr>
      </w:pPr>
    </w:p>
    <w:p w14:paraId="7CF4DC4F" w14:textId="77777777" w:rsidR="00242EB3" w:rsidRPr="00D27A9C" w:rsidRDefault="00000000">
      <w:pPr>
        <w:spacing w:line="240" w:lineRule="auto"/>
        <w:ind w:left="90"/>
        <w:jc w:val="center"/>
        <w:rPr>
          <w:rFonts w:asciiTheme="majorHAnsi" w:eastAsia="Assistant" w:hAnsiTheme="majorHAnsi" w:cstheme="majorHAnsi"/>
          <w:b/>
          <w:sz w:val="40"/>
          <w:szCs w:val="40"/>
        </w:rPr>
      </w:pPr>
      <w:r w:rsidRPr="00D27A9C">
        <w:rPr>
          <w:rFonts w:asciiTheme="majorHAnsi" w:eastAsia="Assistant" w:hAnsiTheme="majorHAnsi" w:cstheme="majorHAnsi"/>
          <w:b/>
          <w:sz w:val="40"/>
          <w:szCs w:val="40"/>
        </w:rPr>
        <w:t>ACTAS</w:t>
      </w:r>
    </w:p>
    <w:p w14:paraId="58B4CAB1" w14:textId="77777777" w:rsidR="00336F60" w:rsidRPr="00D66597" w:rsidRDefault="00336F60" w:rsidP="00E53038">
      <w:pPr>
        <w:spacing w:line="240" w:lineRule="auto"/>
        <w:rPr>
          <w:rFonts w:asciiTheme="majorHAnsi" w:eastAsia="Assistant" w:hAnsiTheme="majorHAnsi" w:cstheme="majorHAnsi"/>
          <w:sz w:val="24"/>
          <w:szCs w:val="24"/>
        </w:rPr>
      </w:pPr>
    </w:p>
    <w:tbl>
      <w:tblPr>
        <w:tblStyle w:val="TableGrid"/>
        <w:tblW w:w="10620" w:type="dxa"/>
        <w:tblInd w:w="-5" w:type="dxa"/>
        <w:tblLook w:val="04A0" w:firstRow="1" w:lastRow="0" w:firstColumn="1" w:lastColumn="0" w:noHBand="0" w:noVBand="1"/>
      </w:tblPr>
      <w:tblGrid>
        <w:gridCol w:w="3600"/>
        <w:gridCol w:w="7020"/>
      </w:tblGrid>
      <w:tr w:rsidR="004447FE" w:rsidRPr="00D66597" w14:paraId="25DB25B3" w14:textId="77777777" w:rsidTr="00AC6736">
        <w:tc>
          <w:tcPr>
            <w:tcW w:w="3600" w:type="dxa"/>
          </w:tcPr>
          <w:p w14:paraId="2AD0DC37" w14:textId="77777777" w:rsidR="00242EB3" w:rsidRPr="00044525" w:rsidRDefault="00000000">
            <w:pPr>
              <w:rPr>
                <w:rFonts w:asciiTheme="majorHAnsi" w:eastAsia="Assistant" w:hAnsiTheme="majorHAnsi" w:cstheme="majorHAnsi"/>
                <w:b/>
                <w:sz w:val="24"/>
                <w:szCs w:val="24"/>
              </w:rPr>
            </w:pPr>
            <w:r w:rsidRPr="00044525">
              <w:rPr>
                <w:rFonts w:asciiTheme="majorHAnsi" w:eastAsia="Assistant" w:hAnsiTheme="majorHAnsi" w:cstheme="majorHAnsi"/>
                <w:b/>
                <w:sz w:val="24"/>
                <w:szCs w:val="24"/>
              </w:rPr>
              <w:t>LLAMADA AL ORDEN</w:t>
            </w:r>
            <w:r w:rsidRPr="00044525">
              <w:rPr>
                <w:rFonts w:asciiTheme="majorHAnsi" w:eastAsia="Assistant" w:hAnsiTheme="majorHAnsi" w:cstheme="majorHAnsi"/>
                <w:b/>
                <w:sz w:val="24"/>
                <w:szCs w:val="24"/>
              </w:rPr>
              <w:tab/>
            </w:r>
            <w:r w:rsidRPr="00044525">
              <w:rPr>
                <w:rFonts w:asciiTheme="majorHAnsi" w:eastAsia="Assistant" w:hAnsiTheme="majorHAnsi" w:cstheme="majorHAnsi"/>
                <w:b/>
                <w:sz w:val="24"/>
                <w:szCs w:val="24"/>
              </w:rPr>
              <w:tab/>
            </w:r>
            <w:r w:rsidRPr="00044525">
              <w:rPr>
                <w:rFonts w:asciiTheme="majorHAnsi" w:eastAsia="Assistant" w:hAnsiTheme="majorHAnsi" w:cstheme="majorHAnsi"/>
                <w:b/>
                <w:sz w:val="24"/>
                <w:szCs w:val="24"/>
              </w:rPr>
              <w:tab/>
            </w:r>
            <w:r w:rsidRPr="00044525">
              <w:rPr>
                <w:rFonts w:asciiTheme="majorHAnsi" w:eastAsia="Assistant" w:hAnsiTheme="majorHAnsi" w:cstheme="majorHAnsi"/>
                <w:b/>
                <w:sz w:val="24"/>
                <w:szCs w:val="24"/>
              </w:rPr>
              <w:tab/>
            </w:r>
            <w:r w:rsidRPr="00044525">
              <w:rPr>
                <w:rFonts w:asciiTheme="majorHAnsi" w:eastAsia="Assistant" w:hAnsiTheme="majorHAnsi" w:cstheme="majorHAnsi"/>
                <w:b/>
                <w:sz w:val="24"/>
                <w:szCs w:val="24"/>
              </w:rPr>
              <w:tab/>
            </w:r>
            <w:r w:rsidRPr="00044525">
              <w:rPr>
                <w:rFonts w:asciiTheme="majorHAnsi" w:eastAsia="Assistant" w:hAnsiTheme="majorHAnsi" w:cstheme="majorHAnsi"/>
                <w:b/>
                <w:sz w:val="24"/>
                <w:szCs w:val="24"/>
              </w:rPr>
              <w:tab/>
            </w:r>
          </w:p>
          <w:p w14:paraId="299D03BF" w14:textId="662F1FFB" w:rsidR="00242EB3" w:rsidRPr="00D27A9C" w:rsidRDefault="00000000" w:rsidP="00D27A9C">
            <w:pPr>
              <w:pStyle w:val="ListParagraph"/>
              <w:numPr>
                <w:ilvl w:val="0"/>
                <w:numId w:val="4"/>
              </w:numPr>
              <w:rPr>
                <w:rFonts w:asciiTheme="majorHAnsi" w:eastAsia="Assistant" w:hAnsiTheme="majorHAnsi" w:cstheme="majorHAnsi"/>
                <w:sz w:val="20"/>
                <w:szCs w:val="20"/>
              </w:rPr>
            </w:pPr>
            <w:r w:rsidRPr="00D27A9C">
              <w:rPr>
                <w:rFonts w:asciiTheme="majorHAnsi" w:eastAsia="Assistant" w:hAnsiTheme="majorHAnsi" w:cstheme="majorHAnsi"/>
                <w:sz w:val="20"/>
                <w:szCs w:val="20"/>
              </w:rPr>
              <w:t>Presentaciones</w:t>
            </w:r>
          </w:p>
          <w:p w14:paraId="07A58118" w14:textId="6C120F5B" w:rsidR="00242EB3" w:rsidRDefault="00000000" w:rsidP="00D27A9C">
            <w:pPr>
              <w:pStyle w:val="ListParagraph"/>
              <w:numPr>
                <w:ilvl w:val="0"/>
                <w:numId w:val="4"/>
              </w:numPr>
              <w:rPr>
                <w:rFonts w:asciiTheme="majorHAnsi" w:eastAsia="Assistant" w:hAnsiTheme="majorHAnsi" w:cstheme="majorHAnsi"/>
                <w:sz w:val="28"/>
                <w:szCs w:val="28"/>
              </w:rPr>
            </w:pPr>
            <w:r w:rsidRPr="00D27A9C">
              <w:rPr>
                <w:rFonts w:asciiTheme="majorHAnsi" w:eastAsia="Assistant" w:hAnsiTheme="majorHAnsi" w:cstheme="majorHAnsi"/>
                <w:sz w:val="20"/>
                <w:szCs w:val="20"/>
              </w:rPr>
              <w:t xml:space="preserve">Establecimiento del </w:t>
            </w:r>
            <w:r w:rsidR="00D27A9C" w:rsidRPr="00D27A9C">
              <w:rPr>
                <w:rFonts w:asciiTheme="majorHAnsi" w:eastAsia="Assistant" w:hAnsiTheme="majorHAnsi" w:cstheme="majorHAnsi"/>
                <w:sz w:val="20"/>
                <w:szCs w:val="20"/>
              </w:rPr>
              <w:t>Q</w:t>
            </w:r>
            <w:r w:rsidRPr="00D27A9C">
              <w:rPr>
                <w:rFonts w:asciiTheme="majorHAnsi" w:eastAsia="Assistant" w:hAnsiTheme="majorHAnsi" w:cstheme="majorHAnsi"/>
                <w:sz w:val="20"/>
                <w:szCs w:val="20"/>
              </w:rPr>
              <w:t>uórum</w:t>
            </w:r>
            <w:r w:rsidRPr="00D66597">
              <w:rPr>
                <w:rFonts w:asciiTheme="majorHAnsi" w:eastAsia="Assistant" w:hAnsiTheme="majorHAnsi" w:cstheme="majorHAnsi"/>
                <w:sz w:val="28"/>
                <w:szCs w:val="28"/>
              </w:rPr>
              <w:br/>
            </w:r>
          </w:p>
        </w:tc>
        <w:tc>
          <w:tcPr>
            <w:tcW w:w="7020" w:type="dxa"/>
          </w:tcPr>
          <w:p w14:paraId="73562CDD"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12:</w:t>
            </w:r>
            <w:r w:rsidR="00B82C3F" w:rsidRPr="00D27A9C">
              <w:rPr>
                <w:rFonts w:asciiTheme="majorHAnsi" w:eastAsiaTheme="minorHAnsi" w:hAnsiTheme="majorHAnsi" w:cstheme="majorHAnsi"/>
                <w:sz w:val="20"/>
                <w:szCs w:val="20"/>
              </w:rPr>
              <w:t xml:space="preserve">37pm </w:t>
            </w:r>
            <w:r w:rsidRPr="00D27A9C">
              <w:rPr>
                <w:rFonts w:asciiTheme="majorHAnsi" w:eastAsiaTheme="minorHAnsi" w:hAnsiTheme="majorHAnsi" w:cstheme="majorHAnsi"/>
                <w:sz w:val="20"/>
                <w:szCs w:val="20"/>
              </w:rPr>
              <w:t>Quórum establecido.</w:t>
            </w:r>
          </w:p>
          <w:p w14:paraId="4C040E80" w14:textId="77777777" w:rsidR="004447FE" w:rsidRPr="00D27A9C" w:rsidRDefault="004447FE" w:rsidP="004447FE">
            <w:pPr>
              <w:rPr>
                <w:rFonts w:asciiTheme="majorHAnsi" w:eastAsiaTheme="minorHAnsi" w:hAnsiTheme="majorHAnsi" w:cstheme="majorHAnsi"/>
                <w:sz w:val="20"/>
                <w:szCs w:val="20"/>
              </w:rPr>
            </w:pPr>
          </w:p>
          <w:p w14:paraId="52AD13D9"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Presentaciones:</w:t>
            </w:r>
          </w:p>
          <w:p w14:paraId="54DF5362" w14:textId="77777777" w:rsidR="00242EB3" w:rsidRPr="00D27A9C" w:rsidRDefault="00000000">
            <w:pPr>
              <w:rPr>
                <w:rFonts w:asciiTheme="majorHAnsi" w:eastAsiaTheme="minorHAnsi" w:hAnsiTheme="majorHAnsi" w:cstheme="majorHAnsi"/>
                <w:sz w:val="20"/>
                <w:szCs w:val="20"/>
                <w:u w:val="single"/>
              </w:rPr>
            </w:pPr>
            <w:r w:rsidRPr="00D27A9C">
              <w:rPr>
                <w:rFonts w:asciiTheme="majorHAnsi" w:eastAsiaTheme="minorHAnsi" w:hAnsiTheme="majorHAnsi" w:cstheme="majorHAnsi"/>
                <w:sz w:val="20"/>
                <w:szCs w:val="20"/>
                <w:u w:val="single"/>
              </w:rPr>
              <w:t>Comité:</w:t>
            </w:r>
          </w:p>
          <w:p w14:paraId="168EB17E"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Debbie Hight, Presidenta</w:t>
            </w:r>
          </w:p>
          <w:p w14:paraId="7B3BEEE9" w14:textId="3BB55FB4"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Donald Ross Long, </w:t>
            </w:r>
            <w:r w:rsidR="00D27A9C" w:rsidRPr="00D27A9C">
              <w:rPr>
                <w:rFonts w:asciiTheme="majorHAnsi" w:eastAsiaTheme="minorHAnsi" w:hAnsiTheme="majorHAnsi" w:cstheme="majorHAnsi"/>
                <w:sz w:val="20"/>
                <w:szCs w:val="20"/>
              </w:rPr>
              <w:t>Autodefensor</w:t>
            </w:r>
          </w:p>
          <w:p w14:paraId="45494D11" w14:textId="0C7AFAD3"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Lilia Valitova, </w:t>
            </w:r>
            <w:r w:rsidR="00D27A9C" w:rsidRPr="00D27A9C">
              <w:rPr>
                <w:rFonts w:asciiTheme="majorHAnsi" w:eastAsiaTheme="minorHAnsi" w:hAnsiTheme="majorHAnsi" w:cstheme="majorHAnsi"/>
                <w:sz w:val="20"/>
                <w:szCs w:val="20"/>
              </w:rPr>
              <w:t>M</w:t>
            </w:r>
            <w:r w:rsidRPr="00D27A9C">
              <w:rPr>
                <w:rFonts w:asciiTheme="majorHAnsi" w:eastAsiaTheme="minorHAnsi" w:hAnsiTheme="majorHAnsi" w:cstheme="majorHAnsi"/>
                <w:sz w:val="20"/>
                <w:szCs w:val="20"/>
              </w:rPr>
              <w:t>adre</w:t>
            </w:r>
          </w:p>
          <w:p w14:paraId="281E58B9"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Yulahlia Hernández</w:t>
            </w:r>
          </w:p>
          <w:p w14:paraId="2F3E78FD" w14:textId="3F9BAFE3"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Christian Nava, </w:t>
            </w:r>
            <w:r w:rsidR="00D27A9C" w:rsidRPr="00D27A9C">
              <w:rPr>
                <w:rFonts w:asciiTheme="majorHAnsi" w:eastAsiaTheme="minorHAnsi" w:hAnsiTheme="majorHAnsi" w:cstheme="majorHAnsi"/>
                <w:sz w:val="20"/>
                <w:szCs w:val="20"/>
              </w:rPr>
              <w:t>Miembro del Comité</w:t>
            </w:r>
          </w:p>
          <w:p w14:paraId="0AB45C34" w14:textId="6C5902E2" w:rsidR="00242EB3"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Teresa Scripps, Defensora de </w:t>
            </w:r>
            <w:r w:rsidR="00D27A9C" w:rsidRPr="00D27A9C">
              <w:rPr>
                <w:rFonts w:asciiTheme="majorHAnsi" w:eastAsiaTheme="minorHAnsi" w:hAnsiTheme="majorHAnsi" w:cstheme="majorHAnsi"/>
                <w:sz w:val="20"/>
                <w:szCs w:val="20"/>
              </w:rPr>
              <w:t>P</w:t>
            </w:r>
            <w:r w:rsidRPr="00D27A9C">
              <w:rPr>
                <w:rFonts w:asciiTheme="majorHAnsi" w:eastAsiaTheme="minorHAnsi" w:hAnsiTheme="majorHAnsi" w:cstheme="majorHAnsi"/>
                <w:sz w:val="20"/>
                <w:szCs w:val="20"/>
              </w:rPr>
              <w:t>adres</w:t>
            </w:r>
          </w:p>
          <w:p w14:paraId="65ED6516" w14:textId="10D0C311" w:rsidR="0095764E" w:rsidRPr="00D27A9C" w:rsidRDefault="0095764E">
            <w:pPr>
              <w:pStyle w:val="ListParagraph"/>
              <w:numPr>
                <w:ilvl w:val="0"/>
                <w:numId w:val="16"/>
              </w:numPr>
              <w:rPr>
                <w:rFonts w:asciiTheme="majorHAnsi" w:eastAsiaTheme="minorHAnsi" w:hAnsiTheme="majorHAnsi" w:cstheme="majorHAnsi"/>
                <w:sz w:val="20"/>
                <w:szCs w:val="20"/>
              </w:rPr>
            </w:pPr>
            <w:r>
              <w:rPr>
                <w:rFonts w:asciiTheme="majorHAnsi" w:eastAsiaTheme="minorHAnsi" w:hAnsiTheme="majorHAnsi" w:cstheme="majorHAnsi"/>
                <w:sz w:val="20"/>
                <w:szCs w:val="20"/>
              </w:rPr>
              <w:t>Ileim, Miembro del Comite’</w:t>
            </w:r>
          </w:p>
          <w:p w14:paraId="4441E5A5" w14:textId="77777777" w:rsidR="004447FE" w:rsidRPr="00D27A9C" w:rsidRDefault="004447FE" w:rsidP="004447FE">
            <w:pPr>
              <w:rPr>
                <w:rFonts w:asciiTheme="majorHAnsi" w:eastAsiaTheme="minorHAnsi" w:hAnsiTheme="majorHAnsi" w:cstheme="majorHAnsi"/>
                <w:sz w:val="20"/>
                <w:szCs w:val="20"/>
              </w:rPr>
            </w:pPr>
          </w:p>
          <w:p w14:paraId="2F13D1F8" w14:textId="77777777" w:rsidR="00242EB3" w:rsidRPr="00D27A9C" w:rsidRDefault="00000000">
            <w:pPr>
              <w:rPr>
                <w:rFonts w:asciiTheme="majorHAnsi" w:eastAsiaTheme="minorHAnsi" w:hAnsiTheme="majorHAnsi" w:cstheme="majorHAnsi"/>
                <w:sz w:val="20"/>
                <w:szCs w:val="20"/>
                <w:u w:val="single"/>
              </w:rPr>
            </w:pPr>
            <w:r w:rsidRPr="00D27A9C">
              <w:rPr>
                <w:rFonts w:asciiTheme="majorHAnsi" w:eastAsiaTheme="minorHAnsi" w:hAnsiTheme="majorHAnsi" w:cstheme="majorHAnsi"/>
                <w:sz w:val="20"/>
                <w:szCs w:val="20"/>
                <w:u w:val="single"/>
              </w:rPr>
              <w:t>Comunidad:</w:t>
            </w:r>
          </w:p>
          <w:p w14:paraId="266AE792" w14:textId="77777777" w:rsidR="00242EB3" w:rsidRPr="00D27A9C" w:rsidRDefault="00D90D1E">
            <w:pPr>
              <w:pStyle w:val="ListParagraph"/>
              <w:numPr>
                <w:ilvl w:val="0"/>
                <w:numId w:val="16"/>
              </w:numPr>
              <w:rPr>
                <w:rFonts w:asciiTheme="majorHAnsi" w:eastAsiaTheme="minorHAnsi" w:hAnsiTheme="majorHAnsi" w:cstheme="majorHAnsi"/>
                <w:sz w:val="20"/>
                <w:szCs w:val="20"/>
                <w:u w:val="single"/>
              </w:rPr>
            </w:pPr>
            <w:r w:rsidRPr="00D27A9C">
              <w:rPr>
                <w:rFonts w:asciiTheme="majorHAnsi" w:eastAsiaTheme="minorHAnsi" w:hAnsiTheme="majorHAnsi" w:cstheme="majorHAnsi"/>
                <w:sz w:val="20"/>
                <w:szCs w:val="20"/>
              </w:rPr>
              <w:t>Ellisa Reiff, Supervisora del SDP</w:t>
            </w:r>
          </w:p>
          <w:p w14:paraId="6E4282A9" w14:textId="77777777" w:rsidR="00242EB3" w:rsidRPr="00D27A9C" w:rsidRDefault="00000000">
            <w:pPr>
              <w:pStyle w:val="ListParagraph"/>
              <w:numPr>
                <w:ilvl w:val="0"/>
                <w:numId w:val="16"/>
              </w:numPr>
              <w:rPr>
                <w:rFonts w:asciiTheme="majorHAnsi" w:eastAsiaTheme="minorHAnsi" w:hAnsiTheme="majorHAnsi" w:cstheme="majorHAnsi"/>
                <w:sz w:val="20"/>
                <w:szCs w:val="20"/>
                <w:u w:val="single"/>
              </w:rPr>
            </w:pPr>
            <w:r w:rsidRPr="00D27A9C">
              <w:rPr>
                <w:rFonts w:asciiTheme="majorHAnsi" w:eastAsiaTheme="minorHAnsi" w:hAnsiTheme="majorHAnsi" w:cstheme="majorHAnsi"/>
                <w:sz w:val="20"/>
                <w:szCs w:val="20"/>
              </w:rPr>
              <w:t>Martha Eble</w:t>
            </w:r>
          </w:p>
          <w:p w14:paraId="089B7732" w14:textId="77777777" w:rsidR="00242EB3" w:rsidRPr="00D27A9C" w:rsidRDefault="00000000">
            <w:pPr>
              <w:pStyle w:val="ListParagraph"/>
              <w:numPr>
                <w:ilvl w:val="0"/>
                <w:numId w:val="16"/>
              </w:numPr>
              <w:rPr>
                <w:rFonts w:asciiTheme="majorHAnsi" w:eastAsiaTheme="minorHAnsi" w:hAnsiTheme="majorHAnsi" w:cstheme="majorHAnsi"/>
                <w:sz w:val="20"/>
                <w:szCs w:val="20"/>
                <w:u w:val="single"/>
              </w:rPr>
            </w:pPr>
            <w:r w:rsidRPr="00D27A9C">
              <w:rPr>
                <w:rFonts w:asciiTheme="majorHAnsi" w:eastAsiaTheme="minorHAnsi" w:hAnsiTheme="majorHAnsi" w:cstheme="majorHAnsi"/>
                <w:sz w:val="20"/>
                <w:szCs w:val="20"/>
              </w:rPr>
              <w:t>Chris Aguire DDS</w:t>
            </w:r>
          </w:p>
          <w:p w14:paraId="4F387EEC" w14:textId="77777777" w:rsidR="00242EB3" w:rsidRPr="00D27A9C" w:rsidRDefault="00000000">
            <w:pPr>
              <w:pStyle w:val="ListParagraph"/>
              <w:numPr>
                <w:ilvl w:val="0"/>
                <w:numId w:val="16"/>
              </w:numPr>
              <w:rPr>
                <w:rFonts w:asciiTheme="majorHAnsi" w:eastAsiaTheme="minorHAnsi" w:hAnsiTheme="majorHAnsi" w:cstheme="majorHAnsi"/>
                <w:sz w:val="20"/>
                <w:szCs w:val="20"/>
                <w:u w:val="single"/>
              </w:rPr>
            </w:pPr>
            <w:r w:rsidRPr="00D27A9C">
              <w:rPr>
                <w:rFonts w:asciiTheme="majorHAnsi" w:eastAsiaTheme="minorHAnsi" w:hAnsiTheme="majorHAnsi" w:cstheme="majorHAnsi"/>
                <w:sz w:val="20"/>
                <w:szCs w:val="20"/>
              </w:rPr>
              <w:t>Claire Morel, Seytoux</w:t>
            </w:r>
          </w:p>
          <w:p w14:paraId="456A01B2" w14:textId="46690AF2"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Shonetrice Smith, </w:t>
            </w:r>
            <w:r w:rsidR="00D27A9C" w:rsidRPr="00D27A9C">
              <w:rPr>
                <w:rFonts w:asciiTheme="majorHAnsi" w:eastAsiaTheme="minorHAnsi" w:hAnsiTheme="majorHAnsi" w:cstheme="majorHAnsi"/>
                <w:sz w:val="20"/>
                <w:szCs w:val="20"/>
              </w:rPr>
              <w:t>Coordinadora de Elección del Participante</w:t>
            </w:r>
          </w:p>
          <w:p w14:paraId="0ECFDAF7"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Stephany Chavez, Coordinadora de Elección del Participante</w:t>
            </w:r>
          </w:p>
          <w:p w14:paraId="570FEC47"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Paula García, Coordinadora de Elección del Participante</w:t>
            </w:r>
          </w:p>
          <w:p w14:paraId="18E842A0"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Jesús Rosales, Coordinador de Elección del Participante</w:t>
            </w:r>
          </w:p>
          <w:p w14:paraId="2150BE02"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Gabriel Rogin, Director Ejecutivo </w:t>
            </w:r>
          </w:p>
          <w:p w14:paraId="319609F3"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Patricia</w:t>
            </w:r>
          </w:p>
          <w:p w14:paraId="64088418"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Janelle Santana, Subdirectora Ejecutiva</w:t>
            </w:r>
          </w:p>
          <w:p w14:paraId="35C07E3C"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Julia LaRose, Facilitación Phoenix</w:t>
            </w:r>
          </w:p>
          <w:p w14:paraId="34B7A4C1" w14:textId="767BCD3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Naomi Hagel, </w:t>
            </w:r>
            <w:r w:rsidR="00D27A9C" w:rsidRPr="00D27A9C">
              <w:rPr>
                <w:rFonts w:asciiTheme="majorHAnsi" w:eastAsiaTheme="minorHAnsi" w:hAnsiTheme="majorHAnsi" w:cstheme="majorHAnsi"/>
                <w:sz w:val="20"/>
                <w:szCs w:val="20"/>
              </w:rPr>
              <w:t>Facilitación Phoenix</w:t>
            </w:r>
          </w:p>
          <w:p w14:paraId="04385B9B"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Lisa Hooks, Consejo Estatal de Discapacidades del Desarrollo</w:t>
            </w:r>
          </w:p>
          <w:p w14:paraId="011EF479" w14:textId="36FA740D"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Naomi Hagel, </w:t>
            </w:r>
            <w:r w:rsidR="00D27A9C" w:rsidRPr="00D27A9C">
              <w:rPr>
                <w:rFonts w:asciiTheme="majorHAnsi" w:eastAsiaTheme="minorHAnsi" w:hAnsiTheme="majorHAnsi" w:cstheme="majorHAnsi"/>
                <w:sz w:val="20"/>
                <w:szCs w:val="20"/>
              </w:rPr>
              <w:t>Facilitación Phoenix</w:t>
            </w:r>
          </w:p>
          <w:p w14:paraId="1B956B0D" w14:textId="77777777" w:rsidR="00242EB3" w:rsidRPr="00D27A9C" w:rsidRDefault="00000000">
            <w:pPr>
              <w:pStyle w:val="ListParagraph"/>
              <w:numPr>
                <w:ilvl w:val="0"/>
                <w:numId w:val="16"/>
              </w:num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Heather Crocker - Alift</w:t>
            </w:r>
          </w:p>
          <w:p w14:paraId="4E3881D4"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Danielle Isola DDS</w:t>
            </w:r>
          </w:p>
          <w:p w14:paraId="68BABF6A" w14:textId="77777777" w:rsidR="00D27A9C" w:rsidRDefault="00D27A9C">
            <w:pPr>
              <w:rPr>
                <w:rFonts w:asciiTheme="majorHAnsi" w:eastAsiaTheme="minorHAnsi" w:hAnsiTheme="majorHAnsi" w:cstheme="majorHAnsi"/>
              </w:rPr>
            </w:pPr>
          </w:p>
          <w:p w14:paraId="54C1B7BC" w14:textId="77777777" w:rsidR="00D27A9C" w:rsidRDefault="00D27A9C">
            <w:pPr>
              <w:rPr>
                <w:rFonts w:asciiTheme="majorHAnsi" w:eastAsiaTheme="minorHAnsi" w:hAnsiTheme="majorHAnsi" w:cstheme="majorHAnsi"/>
              </w:rPr>
            </w:pPr>
          </w:p>
          <w:p w14:paraId="68D97885" w14:textId="77777777" w:rsidR="00242EB3" w:rsidRPr="00D27A9C" w:rsidRDefault="0096321D">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Diana Sandoval AST. Jefe de formación y divulgación</w:t>
            </w:r>
          </w:p>
          <w:p w14:paraId="79F16805" w14:textId="4190437B"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Katie Dempsey DDS Directora de </w:t>
            </w:r>
            <w:r w:rsidR="00D27A9C" w:rsidRPr="00D27A9C">
              <w:rPr>
                <w:rFonts w:asciiTheme="majorHAnsi" w:eastAsiaTheme="minorHAnsi" w:hAnsiTheme="majorHAnsi" w:cstheme="majorHAnsi"/>
                <w:sz w:val="20"/>
                <w:szCs w:val="20"/>
              </w:rPr>
              <w:t>S</w:t>
            </w:r>
            <w:r w:rsidRPr="00D27A9C">
              <w:rPr>
                <w:rFonts w:asciiTheme="majorHAnsi" w:eastAsiaTheme="minorHAnsi" w:hAnsiTheme="majorHAnsi" w:cstheme="majorHAnsi"/>
                <w:sz w:val="20"/>
                <w:szCs w:val="20"/>
              </w:rPr>
              <w:t>ucursal SDP</w:t>
            </w:r>
          </w:p>
          <w:p w14:paraId="3D3082A0"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María </w:t>
            </w:r>
            <w:r w:rsidR="00B82C3F" w:rsidRPr="00D27A9C">
              <w:rPr>
                <w:rFonts w:asciiTheme="majorHAnsi" w:eastAsiaTheme="minorHAnsi" w:hAnsiTheme="majorHAnsi" w:cstheme="majorHAnsi"/>
                <w:sz w:val="20"/>
                <w:szCs w:val="20"/>
              </w:rPr>
              <w:t>López-Zaparoll DDS</w:t>
            </w:r>
          </w:p>
          <w:p w14:paraId="091002E1"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Rhiannon Morsch</w:t>
            </w:r>
          </w:p>
          <w:p w14:paraId="464B218B"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Linda Plourde</w:t>
            </w:r>
          </w:p>
          <w:p w14:paraId="4B52A6FD"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Carin Hewitt Alift</w:t>
            </w:r>
          </w:p>
          <w:p w14:paraId="3CDD1B6A"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Terri Beckett</w:t>
            </w:r>
          </w:p>
          <w:p w14:paraId="097193BE" w14:textId="2F1B71DB"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Michael Bowers- </w:t>
            </w:r>
            <w:r w:rsidR="00D27A9C" w:rsidRPr="00D27A9C">
              <w:rPr>
                <w:rFonts w:asciiTheme="majorHAnsi" w:eastAsiaTheme="minorHAnsi" w:hAnsiTheme="majorHAnsi" w:cstheme="majorHAnsi"/>
                <w:sz w:val="20"/>
                <w:szCs w:val="20"/>
              </w:rPr>
              <w:t>Solución de Primera Opción (First Choice Solution)</w:t>
            </w:r>
          </w:p>
          <w:p w14:paraId="653D9884"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Huda</w:t>
            </w:r>
          </w:p>
          <w:p w14:paraId="0710FE83"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Jane Schoenfeld</w:t>
            </w:r>
          </w:p>
          <w:p w14:paraId="3200930D"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Verónica López</w:t>
            </w:r>
          </w:p>
          <w:p w14:paraId="5B161AAF"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Meul Bhavsar</w:t>
            </w:r>
          </w:p>
          <w:p w14:paraId="7A0A97EB" w14:textId="7F231611"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Kristianna Moralls </w:t>
            </w:r>
            <w:r w:rsidR="00D27A9C" w:rsidRPr="00D27A9C">
              <w:rPr>
                <w:rFonts w:asciiTheme="majorHAnsi" w:eastAsiaTheme="minorHAnsi" w:hAnsiTheme="majorHAnsi" w:cstheme="majorHAnsi"/>
                <w:sz w:val="20"/>
                <w:szCs w:val="20"/>
              </w:rPr>
              <w:t>Voces Unidas de la Discapacidad</w:t>
            </w:r>
          </w:p>
          <w:p w14:paraId="0373053D"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Virgilie Upront</w:t>
            </w:r>
          </w:p>
          <w:p w14:paraId="6E9CBA2B"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Tanya Hernández GTI</w:t>
            </w:r>
          </w:p>
          <w:p w14:paraId="0D9EE8A1"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Areta Gulthrey</w:t>
            </w:r>
          </w:p>
          <w:p w14:paraId="244F1646"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Jill y John Paveza</w:t>
            </w:r>
          </w:p>
          <w:p w14:paraId="09162E3C"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Gina ASL</w:t>
            </w:r>
          </w:p>
          <w:p w14:paraId="32F86D1E"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Alisha Anglade</w:t>
            </w:r>
          </w:p>
          <w:p w14:paraId="7F7EF003"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Lisa</w:t>
            </w:r>
          </w:p>
          <w:p w14:paraId="43CA944E"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Leora Johnson</w:t>
            </w:r>
          </w:p>
          <w:p w14:paraId="4DA85FDC"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Natasha</w:t>
            </w:r>
          </w:p>
          <w:p w14:paraId="4F72477F"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Sweta</w:t>
            </w:r>
          </w:p>
          <w:p w14:paraId="6E2DC566" w14:textId="3A798050"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 xml:space="preserve">Debra Jorgensen </w:t>
            </w:r>
            <w:r w:rsidR="00D27A9C" w:rsidRPr="00D27A9C">
              <w:rPr>
                <w:rFonts w:asciiTheme="majorHAnsi" w:eastAsiaTheme="minorHAnsi" w:hAnsiTheme="majorHAnsi" w:cstheme="majorHAnsi"/>
                <w:sz w:val="20"/>
                <w:szCs w:val="20"/>
              </w:rPr>
              <w:t>Grupo Guiding Light (Luz de Guía)</w:t>
            </w:r>
          </w:p>
          <w:p w14:paraId="6CFADA54"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Resultado Medjina</w:t>
            </w:r>
          </w:p>
          <w:p w14:paraId="6E96C784"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IF (Academia de Formación de Facilitadores Independientes)</w:t>
            </w:r>
          </w:p>
          <w:p w14:paraId="29710EA9"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Yvette Torres</w:t>
            </w:r>
          </w:p>
          <w:p w14:paraId="714C3F09"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Kenia Martínez SCDD</w:t>
            </w:r>
          </w:p>
          <w:p w14:paraId="151B2DB7"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Renee (Madre de Michael)</w:t>
            </w:r>
          </w:p>
          <w:p w14:paraId="4EB57941"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Christine Kantor</w:t>
            </w:r>
          </w:p>
          <w:p w14:paraId="22F9A029"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Carelia</w:t>
            </w:r>
          </w:p>
          <w:p w14:paraId="5D820DCC"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Upfront LLC</w:t>
            </w:r>
          </w:p>
          <w:p w14:paraId="61584132" w14:textId="77777777" w:rsidR="00B82C3F" w:rsidRPr="004447FE" w:rsidRDefault="00B82C3F" w:rsidP="004447FE">
            <w:pPr>
              <w:rPr>
                <w:rFonts w:asciiTheme="majorHAnsi" w:eastAsiaTheme="minorHAnsi" w:hAnsiTheme="majorHAnsi" w:cstheme="majorHAnsi"/>
              </w:rPr>
            </w:pPr>
          </w:p>
          <w:p w14:paraId="11C9FF32" w14:textId="77777777" w:rsidR="004447FE" w:rsidRDefault="004447FE" w:rsidP="004447FE">
            <w:pPr>
              <w:rPr>
                <w:rFonts w:asciiTheme="majorHAnsi" w:eastAsiaTheme="minorHAnsi" w:hAnsiTheme="majorHAnsi" w:cstheme="majorHAnsi"/>
                <w:u w:val="single"/>
              </w:rPr>
            </w:pPr>
          </w:p>
          <w:p w14:paraId="0D4FE773" w14:textId="77777777" w:rsidR="004447FE" w:rsidRDefault="004447FE" w:rsidP="004447FE">
            <w:pPr>
              <w:rPr>
                <w:rFonts w:asciiTheme="majorHAnsi" w:eastAsiaTheme="minorHAnsi" w:hAnsiTheme="majorHAnsi" w:cstheme="majorHAnsi"/>
              </w:rPr>
            </w:pPr>
          </w:p>
          <w:p w14:paraId="4D6EE8CA" w14:textId="77777777" w:rsidR="00242EB3" w:rsidRPr="00D27A9C" w:rsidRDefault="00000000">
            <w:pPr>
              <w:rPr>
                <w:rFonts w:asciiTheme="majorHAnsi" w:eastAsiaTheme="minorHAnsi" w:hAnsiTheme="majorHAnsi" w:cstheme="majorHAnsi"/>
                <w:sz w:val="20"/>
                <w:szCs w:val="20"/>
              </w:rPr>
            </w:pPr>
            <w:r w:rsidRPr="00D27A9C">
              <w:rPr>
                <w:rFonts w:asciiTheme="majorHAnsi" w:eastAsiaTheme="minorHAnsi" w:hAnsiTheme="majorHAnsi" w:cstheme="majorHAnsi"/>
                <w:sz w:val="20"/>
                <w:szCs w:val="20"/>
              </w:rPr>
              <w:t>Moción para aprobar el acta:</w:t>
            </w:r>
          </w:p>
          <w:p w14:paraId="32E56832" w14:textId="77777777" w:rsidR="00242EB3" w:rsidRDefault="00000000">
            <w:pPr>
              <w:rPr>
                <w:rFonts w:asciiTheme="majorHAnsi" w:eastAsiaTheme="minorHAnsi" w:hAnsiTheme="majorHAnsi" w:cstheme="majorHAnsi"/>
                <w:u w:val="single"/>
              </w:rPr>
            </w:pPr>
            <w:r w:rsidRPr="00D27A9C">
              <w:rPr>
                <w:rFonts w:asciiTheme="majorHAnsi" w:eastAsiaTheme="minorHAnsi" w:hAnsiTheme="majorHAnsi" w:cstheme="majorHAnsi"/>
                <w:sz w:val="20"/>
                <w:szCs w:val="20"/>
              </w:rPr>
              <w:t>Todos a favor - Donald Ross Long y Yulahlia Hernandez</w:t>
            </w:r>
          </w:p>
        </w:tc>
      </w:tr>
      <w:tr w:rsidR="004447FE" w:rsidRPr="00D66597" w14:paraId="4279C68F" w14:textId="77777777" w:rsidTr="00AC6736">
        <w:tc>
          <w:tcPr>
            <w:tcW w:w="3600" w:type="dxa"/>
          </w:tcPr>
          <w:p w14:paraId="63420E34" w14:textId="1FEE00AA" w:rsidR="00242EB3" w:rsidRPr="00D27A9C" w:rsidRDefault="00000000">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lastRenderedPageBreak/>
              <w:t xml:space="preserve">Comentarios del </w:t>
            </w:r>
            <w:r w:rsidR="00D27A9C" w:rsidRPr="00D27A9C">
              <w:rPr>
                <w:rFonts w:asciiTheme="majorHAnsi" w:eastAsia="Assistant" w:hAnsiTheme="majorHAnsi" w:cstheme="majorHAnsi"/>
                <w:b/>
                <w:sz w:val="24"/>
                <w:szCs w:val="24"/>
              </w:rPr>
              <w:t>P</w:t>
            </w:r>
            <w:r w:rsidRPr="00D27A9C">
              <w:rPr>
                <w:rFonts w:asciiTheme="majorHAnsi" w:eastAsia="Assistant" w:hAnsiTheme="majorHAnsi" w:cstheme="majorHAnsi"/>
                <w:b/>
                <w:sz w:val="24"/>
                <w:szCs w:val="24"/>
              </w:rPr>
              <w:t>úblico</w:t>
            </w:r>
          </w:p>
        </w:tc>
        <w:tc>
          <w:tcPr>
            <w:tcW w:w="7020" w:type="dxa"/>
          </w:tcPr>
          <w:p w14:paraId="7827DA59" w14:textId="77777777" w:rsidR="00242EB3" w:rsidRPr="00D27A9C" w:rsidRDefault="00000000">
            <w:pPr>
              <w:spacing w:line="300" w:lineRule="atLeast"/>
              <w:rPr>
                <w:rFonts w:asciiTheme="majorHAnsi" w:eastAsia="Times New Roman" w:hAnsiTheme="majorHAnsi" w:cstheme="majorHAnsi"/>
                <w:color w:val="39394D"/>
                <w:sz w:val="20"/>
                <w:szCs w:val="20"/>
              </w:rPr>
            </w:pPr>
            <w:r w:rsidRPr="00D27A9C">
              <w:rPr>
                <w:rFonts w:asciiTheme="majorHAnsi" w:eastAsia="Times New Roman" w:hAnsiTheme="majorHAnsi" w:cstheme="majorHAnsi"/>
                <w:color w:val="39394D"/>
                <w:sz w:val="20"/>
                <w:szCs w:val="20"/>
              </w:rPr>
              <w:t>N/A</w:t>
            </w:r>
          </w:p>
          <w:p w14:paraId="2BF07308" w14:textId="77777777" w:rsidR="007B02A8" w:rsidRPr="00F821C2" w:rsidRDefault="007B02A8" w:rsidP="007B02A8">
            <w:pPr>
              <w:pStyle w:val="ListParagraph"/>
              <w:spacing w:line="300" w:lineRule="atLeast"/>
              <w:ind w:left="6930"/>
              <w:contextualSpacing w:val="0"/>
              <w:rPr>
                <w:rFonts w:eastAsia="Times New Roman"/>
                <w:color w:val="39394D"/>
                <w:sz w:val="24"/>
                <w:szCs w:val="24"/>
              </w:rPr>
            </w:pPr>
          </w:p>
        </w:tc>
      </w:tr>
      <w:tr w:rsidR="004447FE" w:rsidRPr="00D66597" w14:paraId="05F172A6" w14:textId="77777777" w:rsidTr="00AC6736">
        <w:tc>
          <w:tcPr>
            <w:tcW w:w="3600" w:type="dxa"/>
          </w:tcPr>
          <w:p w14:paraId="54C32ED2" w14:textId="77777777" w:rsidR="00242EB3" w:rsidRPr="00D27A9C" w:rsidRDefault="00000000">
            <w:pPr>
              <w:rPr>
                <w:rFonts w:asciiTheme="majorHAnsi" w:eastAsia="Assistant" w:hAnsiTheme="majorHAnsi" w:cstheme="majorHAnsi"/>
                <w:bCs/>
                <w:sz w:val="24"/>
                <w:szCs w:val="24"/>
              </w:rPr>
            </w:pPr>
            <w:r w:rsidRPr="00D27A9C">
              <w:rPr>
                <w:rFonts w:asciiTheme="majorHAnsi" w:eastAsia="Assistant" w:hAnsiTheme="majorHAnsi" w:cstheme="majorHAnsi"/>
                <w:b/>
                <w:sz w:val="24"/>
                <w:szCs w:val="24"/>
              </w:rPr>
              <w:t xml:space="preserve">Presidenta </w:t>
            </w:r>
            <w:r w:rsidRPr="00D27A9C">
              <w:rPr>
                <w:rFonts w:asciiTheme="majorHAnsi" w:eastAsia="Assistant" w:hAnsiTheme="majorHAnsi" w:cstheme="majorHAnsi"/>
                <w:bCs/>
                <w:sz w:val="24"/>
                <w:szCs w:val="24"/>
              </w:rPr>
              <w:t>Debby Hight</w:t>
            </w:r>
          </w:p>
        </w:tc>
        <w:tc>
          <w:tcPr>
            <w:tcW w:w="7020" w:type="dxa"/>
          </w:tcPr>
          <w:p w14:paraId="5EE80415" w14:textId="625FA605" w:rsidR="00242EB3" w:rsidRPr="00D27A9C" w:rsidRDefault="00D27A9C">
            <w:pPr>
              <w:pStyle w:val="NoSpacing"/>
              <w:rPr>
                <w:rFonts w:asciiTheme="majorHAnsi" w:hAnsiTheme="majorHAnsi" w:cstheme="majorHAnsi"/>
                <w:sz w:val="20"/>
                <w:szCs w:val="20"/>
              </w:rPr>
            </w:pPr>
            <w:r w:rsidRPr="00D27A9C">
              <w:rPr>
                <w:rFonts w:asciiTheme="majorHAnsi" w:hAnsiTheme="majorHAnsi" w:cstheme="majorHAnsi"/>
                <w:sz w:val="20"/>
                <w:szCs w:val="20"/>
              </w:rPr>
              <w:t>Se asegura de que todos hayan recibido las Actas de la reunión anterior.</w:t>
            </w:r>
          </w:p>
        </w:tc>
      </w:tr>
      <w:tr w:rsidR="004447FE" w:rsidRPr="00D66597" w14:paraId="5B083C24" w14:textId="77777777" w:rsidTr="00AC6736">
        <w:tc>
          <w:tcPr>
            <w:tcW w:w="3600" w:type="dxa"/>
          </w:tcPr>
          <w:p w14:paraId="1AC7F5B1" w14:textId="08F37F59" w:rsidR="00242EB3" w:rsidRPr="00D27A9C" w:rsidRDefault="00000000">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t>Actualización del NBRC:</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7B02A8" w:rsidRPr="00D27A9C" w14:paraId="2551BBFD" w14:textId="77777777" w:rsidTr="007B02A8">
              <w:trPr>
                <w:tblCellSpacing w:w="0" w:type="dxa"/>
              </w:trPr>
              <w:tc>
                <w:tcPr>
                  <w:tcW w:w="0" w:type="auto"/>
                  <w:gridSpan w:val="2"/>
                  <w:hideMark/>
                </w:tcPr>
                <w:p w14:paraId="0429414D" w14:textId="4F1988E9" w:rsidR="00242EB3" w:rsidRPr="00D27A9C" w:rsidRDefault="00D27A9C">
                  <w:pPr>
                    <w:spacing w:line="300" w:lineRule="atLeast"/>
                    <w:rPr>
                      <w:rFonts w:asciiTheme="majorHAnsi" w:hAnsiTheme="majorHAnsi" w:cstheme="majorHAnsi"/>
                      <w:color w:val="39394D"/>
                      <w:sz w:val="20"/>
                      <w:szCs w:val="20"/>
                    </w:rPr>
                  </w:pPr>
                  <w:r w:rsidRPr="00D27A9C">
                    <w:rPr>
                      <w:rFonts w:asciiTheme="majorHAnsi" w:hAnsiTheme="majorHAnsi" w:cstheme="majorHAnsi"/>
                      <w:color w:val="39394D"/>
                      <w:sz w:val="20"/>
                      <w:szCs w:val="20"/>
                    </w:rPr>
                    <w:t xml:space="preserve">Stephany discutió las actualizaciones del NBRC y los números del informe de inscripción. Stephany informó de un aumento de los clientes del SDP a 64 a partir del 1 de agosto, con 13 en la fase presupuestaria, 11 en el plan de gastos y 9 en busca de inscripción. El equipo revisó los datos demográficos de los clientes y solicitó datos más detallados en el futuro. Hubo una aclaración acerca de las estadísticas del equipo de DDS que están ligeramente por detrás de las suyas debido a un retraso y una discusión sobre la categorización de las personas en el proceso de inscripción. </w:t>
                  </w:r>
                </w:p>
                <w:p w14:paraId="3DBACAB7" w14:textId="7332FAD6" w:rsidR="00242EB3" w:rsidRPr="00D27A9C" w:rsidRDefault="00D27A9C">
                  <w:pPr>
                    <w:spacing w:line="300" w:lineRule="atLeast"/>
                    <w:rPr>
                      <w:rFonts w:asciiTheme="majorHAnsi" w:hAnsiTheme="majorHAnsi" w:cstheme="majorHAnsi"/>
                      <w:color w:val="39394D"/>
                      <w:sz w:val="20"/>
                      <w:szCs w:val="20"/>
                    </w:rPr>
                  </w:pPr>
                  <w:r w:rsidRPr="00D27A9C">
                    <w:rPr>
                      <w:rFonts w:asciiTheme="majorHAnsi" w:hAnsiTheme="majorHAnsi" w:cstheme="majorHAnsi"/>
                      <w:color w:val="39394D"/>
                      <w:sz w:val="20"/>
                      <w:szCs w:val="20"/>
                    </w:rPr>
                    <w:t xml:space="preserve">Debby enfatizó el estrecho seguimiento de los números para identificar cualquier problema potencial. </w:t>
                  </w:r>
                </w:p>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542921" w:rsidRPr="00D27A9C" w14:paraId="41AC8D44" w14:textId="77777777" w:rsidTr="00542921">
                    <w:trPr>
                      <w:trHeight w:val="90"/>
                      <w:tblCellSpacing w:w="0" w:type="dxa"/>
                    </w:trPr>
                    <w:tc>
                      <w:tcPr>
                        <w:tcW w:w="0" w:type="auto"/>
                        <w:vAlign w:val="center"/>
                        <w:hideMark/>
                      </w:tcPr>
                      <w:p w14:paraId="41FF9A9C" w14:textId="77777777" w:rsidR="00542921" w:rsidRPr="00D27A9C" w:rsidRDefault="00542921" w:rsidP="00542921">
                        <w:pPr>
                          <w:rPr>
                            <w:rFonts w:asciiTheme="majorHAnsi" w:hAnsiTheme="majorHAnsi" w:cstheme="majorHAnsi"/>
                            <w:sz w:val="20"/>
                            <w:szCs w:val="20"/>
                          </w:rPr>
                        </w:pPr>
                      </w:p>
                    </w:tc>
                    <w:tc>
                      <w:tcPr>
                        <w:tcW w:w="0" w:type="auto"/>
                        <w:vAlign w:val="center"/>
                        <w:hideMark/>
                      </w:tcPr>
                      <w:p w14:paraId="05DB1B22" w14:textId="77777777" w:rsidR="00542921" w:rsidRPr="00D27A9C" w:rsidRDefault="00542921" w:rsidP="00542921">
                        <w:pPr>
                          <w:rPr>
                            <w:rFonts w:asciiTheme="majorHAnsi" w:eastAsia="Times New Roman" w:hAnsiTheme="majorHAnsi" w:cstheme="majorHAnsi"/>
                            <w:sz w:val="20"/>
                            <w:szCs w:val="20"/>
                          </w:rPr>
                        </w:pPr>
                      </w:p>
                    </w:tc>
                  </w:tr>
                  <w:tr w:rsidR="00542921" w:rsidRPr="00D27A9C" w14:paraId="050BC31F" w14:textId="77777777" w:rsidTr="00542921">
                    <w:trPr>
                      <w:tblCellSpacing w:w="0" w:type="dxa"/>
                    </w:trPr>
                    <w:tc>
                      <w:tcPr>
                        <w:tcW w:w="0" w:type="auto"/>
                        <w:gridSpan w:val="2"/>
                        <w:hideMark/>
                      </w:tcPr>
                      <w:p w14:paraId="13B44019" w14:textId="758D45EB" w:rsidR="00242EB3" w:rsidRPr="00D27A9C" w:rsidRDefault="00D27A9C">
                        <w:pPr>
                          <w:spacing w:line="300" w:lineRule="atLeast"/>
                          <w:rPr>
                            <w:rFonts w:asciiTheme="majorHAnsi" w:eastAsiaTheme="minorHAnsi" w:hAnsiTheme="majorHAnsi" w:cstheme="majorHAnsi"/>
                            <w:color w:val="39394D"/>
                            <w:sz w:val="20"/>
                            <w:szCs w:val="20"/>
                          </w:rPr>
                        </w:pPr>
                        <w:r w:rsidRPr="00D27A9C">
                          <w:rPr>
                            <w:rFonts w:asciiTheme="majorHAnsi" w:hAnsiTheme="majorHAnsi" w:cstheme="majorHAnsi"/>
                            <w:color w:val="39394D"/>
                            <w:sz w:val="20"/>
                            <w:szCs w:val="20"/>
                          </w:rPr>
                          <w:lastRenderedPageBreak/>
                          <w:t xml:space="preserve">El equipo discutió las actualizaciones del NBRC, las cifras del informe de inscripción y los datos demográficos de los clientes, centrándose en mejorar la concienciación y la accesibilidad para los clientes. También revisaron los recientes eventos de divulgación, los esfuerzos de equidad en curso y las funciones de las oficinas de North Bay y del Programa de Autodeterminación. Por último, analizaron los datos de inscripción estatales, discutieron el establecimiento de un equipo y procesos adecuados para aumentar la inscripción y abordaron las preocupaciones relacionadas con la equidad, la accesibilidad y la facilidad de uso de sus programas. </w:t>
                        </w:r>
                      </w:p>
                    </w:tc>
                  </w:tr>
                </w:tbl>
                <w:p w14:paraId="2F492D0B" w14:textId="77777777" w:rsidR="007B02A8" w:rsidRPr="00D27A9C" w:rsidRDefault="007B02A8" w:rsidP="007B02A8">
                  <w:pPr>
                    <w:spacing w:line="300" w:lineRule="atLeast"/>
                    <w:rPr>
                      <w:rFonts w:asciiTheme="majorHAnsi" w:hAnsiTheme="majorHAnsi" w:cstheme="majorHAnsi"/>
                      <w:color w:val="39394D"/>
                      <w:sz w:val="20"/>
                      <w:szCs w:val="20"/>
                    </w:rPr>
                  </w:pPr>
                </w:p>
              </w:tc>
            </w:tr>
            <w:tr w:rsidR="007B02A8" w:rsidRPr="00D27A9C" w14:paraId="4CCB09B7" w14:textId="77777777" w:rsidTr="007B02A8">
              <w:trPr>
                <w:trHeight w:val="300"/>
                <w:tblCellSpacing w:w="0" w:type="dxa"/>
              </w:trPr>
              <w:tc>
                <w:tcPr>
                  <w:tcW w:w="0" w:type="auto"/>
                  <w:vAlign w:val="center"/>
                  <w:hideMark/>
                </w:tcPr>
                <w:p w14:paraId="4BA5AD34" w14:textId="77777777" w:rsidR="007B02A8" w:rsidRPr="00D27A9C" w:rsidRDefault="007B02A8" w:rsidP="007B02A8">
                  <w:pPr>
                    <w:rPr>
                      <w:rFonts w:asciiTheme="majorHAnsi" w:hAnsiTheme="majorHAnsi" w:cstheme="majorHAnsi"/>
                      <w:color w:val="39394D"/>
                      <w:sz w:val="20"/>
                      <w:szCs w:val="20"/>
                    </w:rPr>
                  </w:pPr>
                </w:p>
              </w:tc>
              <w:tc>
                <w:tcPr>
                  <w:tcW w:w="0" w:type="auto"/>
                  <w:vAlign w:val="center"/>
                  <w:hideMark/>
                </w:tcPr>
                <w:p w14:paraId="2DF28AFE" w14:textId="77777777" w:rsidR="007B02A8" w:rsidRPr="00D27A9C" w:rsidRDefault="007B02A8" w:rsidP="007B02A8">
                  <w:pPr>
                    <w:rPr>
                      <w:rFonts w:asciiTheme="majorHAnsi" w:eastAsia="Times New Roman" w:hAnsiTheme="majorHAnsi" w:cstheme="majorHAnsi"/>
                      <w:sz w:val="20"/>
                      <w:szCs w:val="20"/>
                    </w:rPr>
                  </w:pPr>
                </w:p>
              </w:tc>
            </w:tr>
          </w:tbl>
          <w:p w14:paraId="24408A59" w14:textId="77777777" w:rsidR="004447FE" w:rsidRPr="00D27A9C" w:rsidRDefault="004447FE" w:rsidP="004447FE">
            <w:pPr>
              <w:spacing w:after="160" w:line="259" w:lineRule="auto"/>
              <w:rPr>
                <w:rFonts w:asciiTheme="majorHAnsi" w:hAnsiTheme="majorHAnsi" w:cstheme="majorHAnsi"/>
                <w:sz w:val="20"/>
                <w:szCs w:val="20"/>
              </w:rPr>
            </w:pPr>
          </w:p>
        </w:tc>
      </w:tr>
      <w:tr w:rsidR="004447FE" w:rsidRPr="00D66597" w14:paraId="25783BB7" w14:textId="77777777" w:rsidTr="00AC6736">
        <w:tc>
          <w:tcPr>
            <w:tcW w:w="3600" w:type="dxa"/>
          </w:tcPr>
          <w:p w14:paraId="65F819AD" w14:textId="10751F5F" w:rsidR="00242EB3" w:rsidRPr="00D27A9C" w:rsidRDefault="00D27A9C">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lastRenderedPageBreak/>
              <w:t>Actualización del SCDD:</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6804"/>
            </w:tblGrid>
            <w:tr w:rsidR="004447FE" w:rsidRPr="00D27A9C" w14:paraId="29F7C249" w14:textId="77777777" w:rsidTr="00D23296">
              <w:trPr>
                <w:tblCellSpacing w:w="0" w:type="dxa"/>
              </w:trPr>
              <w:tc>
                <w:tcPr>
                  <w:tcW w:w="0" w:type="auto"/>
                </w:tcPr>
                <w:p w14:paraId="5B2E850E" w14:textId="77777777" w:rsidR="00D27A9C" w:rsidRPr="00D27A9C" w:rsidRDefault="00D27A9C" w:rsidP="00D27A9C">
                  <w:pPr>
                    <w:spacing w:line="300" w:lineRule="atLeast"/>
                    <w:rPr>
                      <w:rFonts w:ascii="Calibri" w:hAnsi="Calibri" w:cs="Calibri"/>
                      <w:color w:val="39394D"/>
                      <w:sz w:val="20"/>
                      <w:szCs w:val="20"/>
                    </w:rPr>
                  </w:pPr>
                  <w:r w:rsidRPr="00D27A9C">
                    <w:rPr>
                      <w:rFonts w:ascii="Calibri" w:hAnsi="Calibri" w:cs="Calibri"/>
                      <w:color w:val="39394D"/>
                      <w:sz w:val="20"/>
                      <w:szCs w:val="20"/>
                    </w:rPr>
                    <w:t>Lisa Hooks va a trasladar su puesto al Consejo Estatal en Sacramento. Esta es su última reunión ocupando este cargo para la oficina de North Bay.</w:t>
                  </w:r>
                </w:p>
                <w:p w14:paraId="1E291AD9" w14:textId="22B34606" w:rsidR="00242EB3" w:rsidRPr="00D27A9C" w:rsidRDefault="00D27A9C" w:rsidP="00D27A9C">
                  <w:pPr>
                    <w:spacing w:line="300" w:lineRule="atLeast"/>
                    <w:rPr>
                      <w:rFonts w:ascii="Calibri" w:hAnsi="Calibri" w:cs="Calibri"/>
                      <w:color w:val="39394D"/>
                      <w:sz w:val="20"/>
                      <w:szCs w:val="20"/>
                    </w:rPr>
                  </w:pPr>
                  <w:r w:rsidRPr="00D27A9C">
                    <w:rPr>
                      <w:rFonts w:ascii="Calibri" w:hAnsi="Calibri" w:cs="Calibri"/>
                      <w:color w:val="39394D"/>
                      <w:sz w:val="20"/>
                      <w:szCs w:val="20"/>
                    </w:rPr>
                    <w:t xml:space="preserve"> Kenya Martinez es la Nueva Gerente de la oficina de North Bay. Ella ha servido en su SDAC durante los últimos 5 años en el Centro Regional de Alta. Ella tiene experiencia trabajando con Clientes con discapacidades y está muy emocionada de asumir su nueva posición</w:t>
                  </w:r>
                  <w:r w:rsidR="0088302E" w:rsidRPr="00D27A9C">
                    <w:rPr>
                      <w:rFonts w:ascii="Calibri" w:hAnsi="Calibri" w:cs="Calibri"/>
                      <w:color w:val="39394D"/>
                      <w:sz w:val="20"/>
                      <w:szCs w:val="20"/>
                    </w:rPr>
                    <w:t xml:space="preserve">. </w:t>
                  </w:r>
                </w:p>
              </w:tc>
            </w:tr>
            <w:tr w:rsidR="004447FE" w:rsidRPr="00D27A9C" w14:paraId="15FAF4EB" w14:textId="77777777" w:rsidTr="00D23296">
              <w:trPr>
                <w:trHeight w:val="300"/>
                <w:tblCellSpacing w:w="0" w:type="dxa"/>
              </w:trPr>
              <w:tc>
                <w:tcPr>
                  <w:tcW w:w="0" w:type="auto"/>
                  <w:vAlign w:val="center"/>
                </w:tcPr>
                <w:p w14:paraId="20E540FD" w14:textId="77777777" w:rsidR="004447FE" w:rsidRPr="00D27A9C" w:rsidRDefault="004447FE" w:rsidP="004447FE">
                  <w:pPr>
                    <w:rPr>
                      <w:rFonts w:ascii="Calibri" w:hAnsi="Calibri" w:cs="Calibri"/>
                      <w:color w:val="39394D"/>
                      <w:sz w:val="20"/>
                      <w:szCs w:val="20"/>
                    </w:rPr>
                  </w:pPr>
                </w:p>
              </w:tc>
            </w:tr>
            <w:tr w:rsidR="004447FE" w:rsidRPr="00D27A9C" w14:paraId="2B795846" w14:textId="77777777" w:rsidTr="00D23296">
              <w:trPr>
                <w:tblCellSpacing w:w="0" w:type="dxa"/>
              </w:trPr>
              <w:tc>
                <w:tcPr>
                  <w:tcW w:w="0" w:type="auto"/>
                </w:tcPr>
                <w:p w14:paraId="57928807" w14:textId="77777777" w:rsidR="004447FE" w:rsidRPr="00D27A9C" w:rsidRDefault="004447FE" w:rsidP="004447FE">
                  <w:pPr>
                    <w:spacing w:line="300" w:lineRule="atLeast"/>
                    <w:rPr>
                      <w:rFonts w:eastAsiaTheme="minorHAnsi"/>
                      <w:color w:val="39394D"/>
                      <w:sz w:val="20"/>
                      <w:szCs w:val="20"/>
                    </w:rPr>
                  </w:pPr>
                </w:p>
              </w:tc>
            </w:tr>
            <w:tr w:rsidR="004447FE" w:rsidRPr="00D27A9C" w14:paraId="485E0B63" w14:textId="77777777" w:rsidTr="00D23296">
              <w:trPr>
                <w:tblCellSpacing w:w="0" w:type="dxa"/>
              </w:trPr>
              <w:tc>
                <w:tcPr>
                  <w:tcW w:w="0" w:type="auto"/>
                </w:tcPr>
                <w:p w14:paraId="693C4633" w14:textId="77777777" w:rsidR="004447FE" w:rsidRPr="00D27A9C" w:rsidRDefault="004447FE" w:rsidP="004447FE">
                  <w:pPr>
                    <w:spacing w:line="300" w:lineRule="atLeast"/>
                    <w:rPr>
                      <w:color w:val="39394D"/>
                      <w:sz w:val="20"/>
                      <w:szCs w:val="20"/>
                    </w:rPr>
                  </w:pPr>
                </w:p>
              </w:tc>
            </w:tr>
            <w:tr w:rsidR="004447FE" w:rsidRPr="00D27A9C" w14:paraId="0515C76B" w14:textId="77777777" w:rsidTr="00D23296">
              <w:trPr>
                <w:trHeight w:val="68"/>
                <w:tblCellSpacing w:w="0" w:type="dxa"/>
              </w:trPr>
              <w:tc>
                <w:tcPr>
                  <w:tcW w:w="0" w:type="auto"/>
                  <w:vAlign w:val="center"/>
                  <w:hideMark/>
                </w:tcPr>
                <w:p w14:paraId="5AE7AE47" w14:textId="77777777" w:rsidR="004447FE" w:rsidRPr="00D27A9C" w:rsidRDefault="004447FE" w:rsidP="004447FE">
                  <w:pPr>
                    <w:rPr>
                      <w:color w:val="39394D"/>
                      <w:sz w:val="20"/>
                      <w:szCs w:val="20"/>
                    </w:rPr>
                  </w:pPr>
                </w:p>
              </w:tc>
            </w:tr>
            <w:tr w:rsidR="004447FE" w:rsidRPr="00D27A9C" w14:paraId="41F86434" w14:textId="77777777" w:rsidTr="00D23296">
              <w:trPr>
                <w:tblCellSpacing w:w="0" w:type="dxa"/>
              </w:trPr>
              <w:tc>
                <w:tcPr>
                  <w:tcW w:w="0" w:type="auto"/>
                </w:tcPr>
                <w:p w14:paraId="2F8FFD62" w14:textId="77777777" w:rsidR="004447FE" w:rsidRPr="00D27A9C" w:rsidRDefault="004447FE" w:rsidP="004447FE">
                  <w:pPr>
                    <w:spacing w:line="300" w:lineRule="atLeast"/>
                    <w:rPr>
                      <w:rFonts w:eastAsiaTheme="minorHAnsi"/>
                      <w:color w:val="39394D"/>
                      <w:sz w:val="20"/>
                      <w:szCs w:val="20"/>
                    </w:rPr>
                  </w:pPr>
                </w:p>
              </w:tc>
            </w:tr>
            <w:tr w:rsidR="004447FE" w:rsidRPr="00D27A9C" w14:paraId="4D703D5F" w14:textId="77777777" w:rsidTr="00D23296">
              <w:trPr>
                <w:tblCellSpacing w:w="0" w:type="dxa"/>
              </w:trPr>
              <w:tc>
                <w:tcPr>
                  <w:tcW w:w="0" w:type="auto"/>
                </w:tcPr>
                <w:p w14:paraId="7129034B" w14:textId="77777777" w:rsidR="004447FE" w:rsidRPr="00D27A9C" w:rsidRDefault="004447FE" w:rsidP="004447FE">
                  <w:pPr>
                    <w:spacing w:line="300" w:lineRule="atLeast"/>
                    <w:rPr>
                      <w:color w:val="39394D"/>
                      <w:sz w:val="20"/>
                      <w:szCs w:val="20"/>
                    </w:rPr>
                  </w:pPr>
                </w:p>
              </w:tc>
            </w:tr>
          </w:tbl>
          <w:p w14:paraId="65EF395B" w14:textId="77777777" w:rsidR="004447FE" w:rsidRPr="00D27A9C" w:rsidRDefault="004447FE" w:rsidP="004447FE">
            <w:pPr>
              <w:spacing w:after="160" w:line="259" w:lineRule="auto"/>
              <w:rPr>
                <w:rFonts w:ascii="Times New Roman" w:hAnsi="Times New Roman" w:cs="Times New Roman"/>
                <w:sz w:val="20"/>
                <w:szCs w:val="20"/>
              </w:rPr>
            </w:pPr>
          </w:p>
        </w:tc>
      </w:tr>
      <w:tr w:rsidR="004447FE" w:rsidRPr="00D66597" w14:paraId="1120EFA8" w14:textId="77777777" w:rsidTr="00AC6736">
        <w:tc>
          <w:tcPr>
            <w:tcW w:w="3600" w:type="dxa"/>
          </w:tcPr>
          <w:p w14:paraId="1097A54A" w14:textId="77777777" w:rsidR="00242EB3" w:rsidRPr="00D27A9C" w:rsidRDefault="00000000">
            <w:pPr>
              <w:rPr>
                <w:rFonts w:asciiTheme="majorHAnsi" w:eastAsia="Assistant" w:hAnsiTheme="majorHAnsi" w:cstheme="majorHAnsi"/>
                <w:bCs/>
                <w:sz w:val="24"/>
                <w:szCs w:val="24"/>
              </w:rPr>
            </w:pPr>
            <w:r w:rsidRPr="00D27A9C">
              <w:rPr>
                <w:rFonts w:asciiTheme="majorHAnsi" w:eastAsia="Assistant" w:hAnsiTheme="majorHAnsi" w:cstheme="majorHAnsi"/>
                <w:b/>
                <w:sz w:val="24"/>
                <w:szCs w:val="24"/>
              </w:rPr>
              <w:t xml:space="preserve">Facilitación Phoenix - </w:t>
            </w:r>
            <w:r w:rsidRPr="00D27A9C">
              <w:rPr>
                <w:rFonts w:asciiTheme="majorHAnsi" w:eastAsia="Assistant" w:hAnsiTheme="majorHAnsi" w:cstheme="majorHAnsi"/>
                <w:bCs/>
                <w:sz w:val="24"/>
                <w:szCs w:val="24"/>
              </w:rPr>
              <w:t>Naomi Hagel y Julia LaRose</w:t>
            </w:r>
          </w:p>
        </w:tc>
        <w:tc>
          <w:tcPr>
            <w:tcW w:w="7020" w:type="dxa"/>
          </w:tcPr>
          <w:p w14:paraId="24ACB823" w14:textId="1787A376" w:rsidR="00242EB3" w:rsidRPr="00D27A9C" w:rsidRDefault="00D27A9C">
            <w:pPr>
              <w:spacing w:after="160" w:line="259" w:lineRule="auto"/>
              <w:rPr>
                <w:rFonts w:ascii="Calibri" w:hAnsi="Calibri" w:cs="Calibri"/>
                <w:color w:val="39394D"/>
                <w:sz w:val="20"/>
                <w:szCs w:val="20"/>
              </w:rPr>
            </w:pPr>
            <w:r w:rsidRPr="00D27A9C">
              <w:rPr>
                <w:rFonts w:ascii="Calibri" w:hAnsi="Calibri" w:cs="Calibri"/>
                <w:color w:val="39394D"/>
                <w:sz w:val="20"/>
                <w:szCs w:val="20"/>
              </w:rPr>
              <w:t>A continuación, Naomi, de Facilitación Phoenix, informó sobre sus actividades recientes, incluida la renovación de su asociación con el Centro Regional de North Bay para los próximos seis meses, tras un exitoso evento de formación y divulgación del personal. También siguen ofreciendo asesoramiento individual</w:t>
            </w:r>
            <w:r w:rsidR="0088302E" w:rsidRPr="00D27A9C">
              <w:rPr>
                <w:rFonts w:ascii="Calibri" w:hAnsi="Calibri" w:cs="Calibri"/>
                <w:color w:val="39394D"/>
                <w:sz w:val="20"/>
                <w:szCs w:val="20"/>
              </w:rPr>
              <w:t>.</w:t>
            </w:r>
          </w:p>
        </w:tc>
      </w:tr>
      <w:tr w:rsidR="004447FE" w:rsidRPr="00D66597" w14:paraId="2D371BF1" w14:textId="77777777" w:rsidTr="00AC6736">
        <w:tc>
          <w:tcPr>
            <w:tcW w:w="3600" w:type="dxa"/>
          </w:tcPr>
          <w:p w14:paraId="3796CACF" w14:textId="4A8A788C" w:rsidR="00242EB3" w:rsidRPr="00D27A9C" w:rsidRDefault="00D27A9C">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t>Asuntos Pendientes</w:t>
            </w:r>
          </w:p>
        </w:tc>
        <w:tc>
          <w:tcPr>
            <w:tcW w:w="7020" w:type="dxa"/>
          </w:tcPr>
          <w:p w14:paraId="2EEF4BAE" w14:textId="77777777" w:rsidR="00242EB3" w:rsidRPr="00D27A9C" w:rsidRDefault="00000000">
            <w:pPr>
              <w:spacing w:after="160" w:line="259" w:lineRule="auto"/>
              <w:rPr>
                <w:rFonts w:ascii="Calibri" w:hAnsi="Calibri" w:cs="Calibri"/>
                <w:sz w:val="20"/>
                <w:szCs w:val="20"/>
              </w:rPr>
            </w:pPr>
            <w:r w:rsidRPr="00D27A9C">
              <w:rPr>
                <w:rFonts w:ascii="Calibri" w:hAnsi="Calibri" w:cs="Calibri"/>
                <w:sz w:val="20"/>
                <w:szCs w:val="20"/>
              </w:rPr>
              <w:t>N/A</w:t>
            </w:r>
          </w:p>
        </w:tc>
      </w:tr>
      <w:tr w:rsidR="004447FE" w:rsidRPr="00D66597" w14:paraId="5CFE11BA" w14:textId="77777777" w:rsidTr="00462DAF">
        <w:trPr>
          <w:trHeight w:val="5219"/>
        </w:trPr>
        <w:tc>
          <w:tcPr>
            <w:tcW w:w="3600" w:type="dxa"/>
          </w:tcPr>
          <w:p w14:paraId="3637BC33" w14:textId="15662FB8" w:rsidR="00242EB3" w:rsidRPr="00D27A9C" w:rsidRDefault="00D27A9C">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t>Nuevos Asuntos</w:t>
            </w:r>
          </w:p>
        </w:tc>
        <w:tc>
          <w:tcPr>
            <w:tcW w:w="7020" w:type="dxa"/>
          </w:tcPr>
          <w:p w14:paraId="133BCD97" w14:textId="4AC9B589" w:rsidR="00242EB3" w:rsidRPr="00D27A9C" w:rsidRDefault="00000000">
            <w:pPr>
              <w:rPr>
                <w:rFonts w:ascii="Calibri" w:hAnsi="Calibri" w:cs="Calibri"/>
                <w:sz w:val="20"/>
                <w:szCs w:val="20"/>
              </w:rPr>
            </w:pPr>
            <w:r w:rsidRPr="00D27A9C">
              <w:rPr>
                <w:rFonts w:ascii="Calibri" w:hAnsi="Calibri" w:cs="Calibri"/>
                <w:color w:val="39394D"/>
                <w:sz w:val="20"/>
                <w:szCs w:val="20"/>
              </w:rPr>
              <w:t xml:space="preserve">Katie, la directora, </w:t>
            </w:r>
            <w:r w:rsidR="00D27A9C" w:rsidRPr="00D27A9C">
              <w:rPr>
                <w:rFonts w:ascii="Calibri" w:hAnsi="Calibri" w:cs="Calibri"/>
                <w:color w:val="39394D"/>
                <w:sz w:val="20"/>
                <w:szCs w:val="20"/>
              </w:rPr>
              <w:t>del Programa de Autodeterminación, presentó a su equipo, aclarando sus funciones y experiencias</w:t>
            </w:r>
            <w:r w:rsidRPr="00D27A9C">
              <w:rPr>
                <w:rFonts w:ascii="Calibri" w:hAnsi="Calibri" w:cs="Calibri"/>
                <w:color w:val="39394D"/>
                <w:sz w:val="20"/>
                <w:szCs w:val="20"/>
              </w:rPr>
              <w:t>.</w:t>
            </w:r>
          </w:p>
          <w:p w14:paraId="784AE442" w14:textId="77777777" w:rsidR="002C4CE2" w:rsidRPr="00D27A9C" w:rsidRDefault="002C4CE2" w:rsidP="002C4CE2">
            <w:pPr>
              <w:spacing w:line="300" w:lineRule="atLeast"/>
              <w:rPr>
                <w:rFonts w:ascii="Calibri" w:hAnsi="Calibri" w:cs="Calibri"/>
                <w:color w:val="39394D"/>
                <w:sz w:val="20"/>
                <w:szCs w:val="20"/>
              </w:rPr>
            </w:pPr>
          </w:p>
          <w:p w14:paraId="6C239FFA" w14:textId="7742014D" w:rsidR="00242EB3" w:rsidRPr="00D27A9C" w:rsidRDefault="00D27A9C">
            <w:pPr>
              <w:spacing w:line="300" w:lineRule="atLeast"/>
              <w:rPr>
                <w:rFonts w:ascii="Calibri" w:hAnsi="Calibri" w:cs="Calibri"/>
                <w:color w:val="39394D"/>
                <w:sz w:val="20"/>
                <w:szCs w:val="20"/>
              </w:rPr>
            </w:pPr>
            <w:r w:rsidRPr="00D27A9C">
              <w:rPr>
                <w:rFonts w:ascii="Calibri" w:hAnsi="Calibri" w:cs="Calibri"/>
                <w:color w:val="39394D"/>
                <w:sz w:val="20"/>
                <w:szCs w:val="20"/>
              </w:rPr>
              <w:t>Katie presentó las actualizaciones recientes del departamento y las próximas iniciativas. Enfatizó el papel del departamento en el apoyo a las comunidades locales, el lanzamiento de un programa trimestral de datos demográficos y la aplicación de nuevas directivas. También presentó un avance de los próximos proyectos.</w:t>
            </w:r>
          </w:p>
          <w:tbl>
            <w:tblPr>
              <w:tblW w:w="5000" w:type="pct"/>
              <w:tblCellSpacing w:w="0" w:type="dxa"/>
              <w:tblCellMar>
                <w:left w:w="0" w:type="dxa"/>
                <w:right w:w="0" w:type="dxa"/>
              </w:tblCellMar>
              <w:tblLook w:val="04A0" w:firstRow="1" w:lastRow="0" w:firstColumn="1" w:lastColumn="0" w:noHBand="0" w:noVBand="1"/>
            </w:tblPr>
            <w:tblGrid>
              <w:gridCol w:w="6804"/>
            </w:tblGrid>
            <w:tr w:rsidR="0088302E" w:rsidRPr="00D27A9C" w14:paraId="276772E1" w14:textId="77777777" w:rsidTr="0088302E">
              <w:trPr>
                <w:tblCellSpacing w:w="0" w:type="dxa"/>
              </w:trPr>
              <w:tc>
                <w:tcPr>
                  <w:tcW w:w="0" w:type="auto"/>
                  <w:hideMark/>
                </w:tcPr>
                <w:p w14:paraId="2DBD1828" w14:textId="122B94F9" w:rsidR="00242EB3" w:rsidRPr="00D27A9C" w:rsidRDefault="00D27A9C">
                  <w:pPr>
                    <w:spacing w:line="300" w:lineRule="atLeast"/>
                    <w:rPr>
                      <w:rFonts w:ascii="Calibri" w:hAnsi="Calibri" w:cs="Calibri"/>
                      <w:color w:val="39394D"/>
                      <w:sz w:val="20"/>
                      <w:szCs w:val="20"/>
                    </w:rPr>
                  </w:pPr>
                  <w:r w:rsidRPr="00D27A9C">
                    <w:rPr>
                      <w:rFonts w:ascii="Calibri" w:hAnsi="Calibri" w:cs="Calibri"/>
                      <w:color w:val="39394D"/>
                      <w:sz w:val="20"/>
                      <w:szCs w:val="20"/>
                    </w:rPr>
                    <w:t xml:space="preserve">- Katie trabajará con el Consejo Estatal para desarrollar módulos adicionales para la orientación con el fin de mejorar la accesibilidad y la comprensión del programa. </w:t>
                  </w:r>
                </w:p>
                <w:p w14:paraId="4A548462" w14:textId="056AEE0A" w:rsidR="00242EB3" w:rsidRPr="00D27A9C" w:rsidRDefault="00D27A9C">
                  <w:pPr>
                    <w:spacing w:line="300" w:lineRule="atLeast"/>
                    <w:rPr>
                      <w:rFonts w:ascii="Calibri" w:hAnsi="Calibri" w:cs="Calibri"/>
                      <w:color w:val="39394D"/>
                      <w:sz w:val="20"/>
                      <w:szCs w:val="20"/>
                    </w:rPr>
                  </w:pPr>
                  <w:r w:rsidRPr="00D27A9C">
                    <w:rPr>
                      <w:rFonts w:ascii="Calibri" w:hAnsi="Calibri" w:cs="Calibri"/>
                      <w:color w:val="39394D"/>
                      <w:sz w:val="20"/>
                      <w:szCs w:val="20"/>
                    </w:rPr>
                    <w:t xml:space="preserve">El equipo discutió varias cuestiones relacionadas con la equidad, la accesibilidad y la facilidad de uso de sus programas. Katie coincidió con Terri en la necesidad de mejorar la accesibilidad y sostenibilidad del programa SDP, incluido el uso del apoyo entre pares y la reedición del trabajo con el Consejo Estatal sobre módulos de orientación adicionales. Se plantearon preocupaciones sobre el cambio en el pago de los servicios de toma de huellas dactilares, la falta de representación de las comunidades desatendidas en la recopilación de datos y los desafíos a los que se enfrenta el FMS en el modelo de co-empleador. El equipo reconoció estos problemas y acordó abordarlos en futuras reuniones, centrándose especialmente </w:t>
                  </w:r>
                  <w:r w:rsidRPr="00D27A9C">
                    <w:rPr>
                      <w:rFonts w:ascii="Calibri" w:hAnsi="Calibri" w:cs="Calibri"/>
                      <w:color w:val="39394D"/>
                      <w:sz w:val="20"/>
                      <w:szCs w:val="20"/>
                    </w:rPr>
                    <w:lastRenderedPageBreak/>
                    <w:t>en explorar soluciones para las comunidades desatendidas y garantizar un acceso equitativo a los servicios.</w:t>
                  </w:r>
                </w:p>
              </w:tc>
            </w:tr>
            <w:tr w:rsidR="0088302E" w:rsidRPr="00D27A9C" w14:paraId="3FAD0DF8" w14:textId="77777777" w:rsidTr="006A75C3">
              <w:trPr>
                <w:trHeight w:val="1935"/>
                <w:tblCellSpacing w:w="0" w:type="dxa"/>
              </w:trPr>
              <w:tc>
                <w:tcPr>
                  <w:tcW w:w="0" w:type="auto"/>
                  <w:hideMark/>
                </w:tcPr>
                <w:p w14:paraId="46AEDBF5" w14:textId="201D61E3" w:rsidR="00242EB3" w:rsidRPr="00D27A9C" w:rsidRDefault="00000000">
                  <w:pPr>
                    <w:spacing w:line="300" w:lineRule="atLeast"/>
                    <w:rPr>
                      <w:rFonts w:ascii="Calibri" w:hAnsi="Calibri" w:cs="Calibri"/>
                      <w:color w:val="39394D"/>
                      <w:sz w:val="20"/>
                      <w:szCs w:val="20"/>
                    </w:rPr>
                  </w:pPr>
                  <w:r w:rsidRPr="00D27A9C">
                    <w:rPr>
                      <w:rFonts w:ascii="Calibri" w:hAnsi="Calibri" w:cs="Calibri"/>
                      <w:color w:val="39394D"/>
                      <w:sz w:val="20"/>
                      <w:szCs w:val="20"/>
                    </w:rPr>
                    <w:lastRenderedPageBreak/>
                    <w:t xml:space="preserve">- </w:t>
                  </w:r>
                  <w:r w:rsidR="00D27A9C" w:rsidRPr="00D27A9C">
                    <w:rPr>
                      <w:rFonts w:ascii="Calibri" w:hAnsi="Calibri" w:cs="Calibri"/>
                      <w:color w:val="39394D"/>
                      <w:sz w:val="20"/>
                      <w:szCs w:val="20"/>
                    </w:rPr>
                    <w:t>Katie se pondrá en contacto con las comunidades locales para recopilar datos sobre factores socioeconómicos y utilizar esta información para impulsar el programa en las comunidades desatendidas</w:t>
                  </w:r>
                  <w:r w:rsidRPr="00D27A9C">
                    <w:rPr>
                      <w:rFonts w:ascii="Calibri" w:hAnsi="Calibri" w:cs="Calibri"/>
                      <w:color w:val="39394D"/>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6804"/>
                  </w:tblGrid>
                  <w:tr w:rsidR="006A75C3" w:rsidRPr="00D27A9C" w14:paraId="6BC538CF" w14:textId="77777777" w:rsidTr="006A75C3">
                    <w:trPr>
                      <w:tblCellSpacing w:w="0" w:type="dxa"/>
                    </w:trPr>
                    <w:tc>
                      <w:tcPr>
                        <w:tcW w:w="0" w:type="auto"/>
                        <w:hideMark/>
                      </w:tcPr>
                      <w:p w14:paraId="3D392503" w14:textId="78C7F3A9" w:rsidR="00242EB3" w:rsidRPr="00D27A9C" w:rsidRDefault="00D27A9C">
                        <w:pPr>
                          <w:spacing w:line="300" w:lineRule="atLeast"/>
                          <w:rPr>
                            <w:rFonts w:ascii="Calibri" w:hAnsi="Calibri" w:cs="Calibri"/>
                            <w:color w:val="39394D"/>
                            <w:sz w:val="20"/>
                            <w:szCs w:val="20"/>
                          </w:rPr>
                        </w:pPr>
                        <w:r w:rsidRPr="00D27A9C">
                          <w:rPr>
                            <w:rFonts w:ascii="Calibri" w:hAnsi="Calibri" w:cs="Calibri"/>
                            <w:color w:val="39394D"/>
                            <w:sz w:val="20"/>
                            <w:szCs w:val="20"/>
                          </w:rPr>
                          <w:t xml:space="preserve">Diana compartió una comparación visual de las tendencias de inscripción para el estado y NBRC desde noviembre de 2022 hasta mayo de 2024, señalando la mayor inclinación de NBRC en comparación con el promedio estatal. También proporcionó un desglose detallado de la inscripción en todo el estado por centros regionales, siendo NBRC uno de los centros más pequeños. Además analizó las tendencias de matriculación del año fiscal 2020 al 2023, destacando las diferentes cifras de inscripción para cada centro regional. Presentó una comparación detallada de la inscripción a nivel estatal frente a la inscripción de NBRC, desglosada por edad y discapacidad, con la mayor inscripción de participantes del SDP en el grupo de 0 a 3 años. Diana también observó discrepancias en la distribución de las etnias y el idioma principal hablado por los participantes del SDP en comparación con la población general estatal. </w:t>
                        </w:r>
                      </w:p>
                      <w:p w14:paraId="544DCA37" w14:textId="77777777" w:rsidR="00930025" w:rsidRPr="00D27A9C" w:rsidRDefault="00930025" w:rsidP="00930025">
                        <w:pPr>
                          <w:spacing w:line="300" w:lineRule="atLeast"/>
                          <w:rPr>
                            <w:rFonts w:ascii="Calibri" w:hAnsi="Calibri" w:cs="Calibri"/>
                            <w:color w:val="39394D"/>
                            <w:sz w:val="20"/>
                            <w:szCs w:val="20"/>
                          </w:rPr>
                        </w:pPr>
                      </w:p>
                      <w:p w14:paraId="47538FEC" w14:textId="77777777" w:rsidR="006A75C3" w:rsidRPr="00D27A9C" w:rsidRDefault="006A75C3" w:rsidP="006A75C3">
                        <w:pPr>
                          <w:spacing w:line="300" w:lineRule="atLeast"/>
                          <w:rPr>
                            <w:rFonts w:ascii="Calibri" w:hAnsi="Calibri" w:cs="Calibri"/>
                            <w:color w:val="39394D"/>
                            <w:sz w:val="20"/>
                            <w:szCs w:val="20"/>
                          </w:rPr>
                        </w:pPr>
                      </w:p>
                    </w:tc>
                  </w:tr>
                </w:tbl>
                <w:p w14:paraId="08214282" w14:textId="77777777" w:rsidR="002C4CE2" w:rsidRPr="00D27A9C" w:rsidRDefault="002C4CE2" w:rsidP="002C4CE2">
                  <w:pPr>
                    <w:spacing w:line="300" w:lineRule="atLeast"/>
                    <w:rPr>
                      <w:rFonts w:ascii="Calibri" w:hAnsi="Calibri" w:cs="Calibri"/>
                      <w:color w:val="39394D"/>
                      <w:sz w:val="20"/>
                      <w:szCs w:val="20"/>
                    </w:rPr>
                  </w:pPr>
                </w:p>
                <w:p w14:paraId="7F011884" w14:textId="77777777" w:rsidR="006A75C3" w:rsidRPr="00D27A9C" w:rsidRDefault="006A75C3" w:rsidP="002C4CE2">
                  <w:pPr>
                    <w:spacing w:line="300" w:lineRule="atLeast"/>
                    <w:rPr>
                      <w:rFonts w:ascii="Calibri" w:hAnsi="Calibri" w:cs="Calibri"/>
                      <w:color w:val="39394D"/>
                      <w:sz w:val="20"/>
                      <w:szCs w:val="20"/>
                    </w:rPr>
                  </w:pPr>
                </w:p>
                <w:p w14:paraId="68166EFF" w14:textId="77777777" w:rsidR="0088302E" w:rsidRPr="00D27A9C" w:rsidRDefault="0088302E" w:rsidP="0088302E">
                  <w:pPr>
                    <w:spacing w:line="300" w:lineRule="atLeast"/>
                    <w:rPr>
                      <w:rFonts w:ascii="Calibri" w:hAnsi="Calibri" w:cs="Calibri"/>
                      <w:color w:val="39394D"/>
                      <w:sz w:val="20"/>
                      <w:szCs w:val="20"/>
                    </w:rPr>
                  </w:pPr>
                </w:p>
              </w:tc>
            </w:tr>
          </w:tbl>
          <w:p w14:paraId="6CFDBB0F" w14:textId="77777777" w:rsidR="004447FE" w:rsidRPr="00D27A9C" w:rsidRDefault="004447FE" w:rsidP="004447FE">
            <w:pPr>
              <w:spacing w:after="160" w:line="259" w:lineRule="auto"/>
              <w:rPr>
                <w:rFonts w:ascii="Calibri" w:hAnsi="Calibri" w:cs="Calibri"/>
                <w:sz w:val="20"/>
                <w:szCs w:val="20"/>
              </w:rPr>
            </w:pPr>
          </w:p>
        </w:tc>
      </w:tr>
      <w:tr w:rsidR="004447FE" w:rsidRPr="00D66597" w14:paraId="7871187B" w14:textId="77777777" w:rsidTr="00AC6736">
        <w:tc>
          <w:tcPr>
            <w:tcW w:w="3600" w:type="dxa"/>
          </w:tcPr>
          <w:p w14:paraId="19FB0056" w14:textId="661D700D" w:rsidR="00242EB3" w:rsidRPr="00D27A9C" w:rsidRDefault="00000000">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lastRenderedPageBreak/>
              <w:t xml:space="preserve">Comentarios del </w:t>
            </w:r>
            <w:r w:rsidR="00D27A9C" w:rsidRPr="00D27A9C">
              <w:rPr>
                <w:rFonts w:asciiTheme="majorHAnsi" w:eastAsia="Assistant" w:hAnsiTheme="majorHAnsi" w:cstheme="majorHAnsi"/>
                <w:b/>
                <w:sz w:val="24"/>
                <w:szCs w:val="24"/>
              </w:rPr>
              <w:t>P</w:t>
            </w:r>
            <w:r w:rsidRPr="00D27A9C">
              <w:rPr>
                <w:rFonts w:asciiTheme="majorHAnsi" w:eastAsia="Assistant" w:hAnsiTheme="majorHAnsi" w:cstheme="majorHAnsi"/>
                <w:b/>
                <w:sz w:val="24"/>
                <w:szCs w:val="24"/>
              </w:rPr>
              <w:t>úblico</w:t>
            </w:r>
          </w:p>
        </w:tc>
        <w:tc>
          <w:tcPr>
            <w:tcW w:w="7020" w:type="dxa"/>
          </w:tcPr>
          <w:p w14:paraId="4D48AF12" w14:textId="0221DD9E" w:rsidR="00242EB3" w:rsidRPr="00D27A9C" w:rsidRDefault="00D27A9C">
            <w:pPr>
              <w:spacing w:after="160" w:line="259" w:lineRule="auto"/>
              <w:rPr>
                <w:rFonts w:asciiTheme="majorHAnsi" w:hAnsiTheme="majorHAnsi" w:cstheme="majorHAnsi"/>
                <w:sz w:val="20"/>
                <w:szCs w:val="20"/>
              </w:rPr>
            </w:pPr>
            <w:r w:rsidRPr="00D27A9C">
              <w:rPr>
                <w:rFonts w:asciiTheme="majorHAnsi" w:hAnsiTheme="majorHAnsi" w:cstheme="majorHAnsi"/>
                <w:sz w:val="20"/>
                <w:szCs w:val="20"/>
              </w:rPr>
              <w:t>Carin Hewitt IF dijo que estamos viendo que muchos FMS se retiran del Coempleador y se preguntaba si hay esfuerzos que se están poniendo en marcha para tal vez mejorar el Modelo de Empleador Único. Hacer que los clientes se sientan más cómodos contratando a su propio personal</w:t>
            </w:r>
            <w:r w:rsidR="00706FF2" w:rsidRPr="00D27A9C">
              <w:rPr>
                <w:rFonts w:asciiTheme="majorHAnsi" w:hAnsiTheme="majorHAnsi" w:cstheme="majorHAnsi"/>
                <w:sz w:val="20"/>
                <w:szCs w:val="20"/>
              </w:rPr>
              <w:t xml:space="preserve">. </w:t>
            </w:r>
          </w:p>
        </w:tc>
      </w:tr>
      <w:tr w:rsidR="004447FE" w:rsidRPr="00D66597" w14:paraId="4A728D95" w14:textId="77777777" w:rsidTr="00AC6736">
        <w:tc>
          <w:tcPr>
            <w:tcW w:w="3600" w:type="dxa"/>
          </w:tcPr>
          <w:p w14:paraId="25C529CF" w14:textId="588C2237" w:rsidR="00242EB3" w:rsidRPr="00D27A9C" w:rsidRDefault="00D27A9C">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t>Temas del orden del día para futuras reuniones</w:t>
            </w:r>
          </w:p>
        </w:tc>
        <w:tc>
          <w:tcPr>
            <w:tcW w:w="7020" w:type="dxa"/>
          </w:tcPr>
          <w:p w14:paraId="17E1BF3F" w14:textId="77777777" w:rsidR="00242EB3" w:rsidRPr="00D27A9C" w:rsidRDefault="00000000">
            <w:pPr>
              <w:spacing w:after="160" w:line="259" w:lineRule="auto"/>
              <w:rPr>
                <w:rFonts w:asciiTheme="majorHAnsi" w:hAnsiTheme="majorHAnsi" w:cstheme="majorHAnsi"/>
                <w:sz w:val="20"/>
                <w:szCs w:val="20"/>
              </w:rPr>
            </w:pPr>
            <w:r w:rsidRPr="00D27A9C">
              <w:rPr>
                <w:rFonts w:asciiTheme="majorHAnsi" w:hAnsiTheme="majorHAnsi" w:cstheme="majorHAnsi"/>
                <w:sz w:val="20"/>
                <w:szCs w:val="20"/>
              </w:rPr>
              <w:t>FMS Asunto del que hablaba Carin.</w:t>
            </w:r>
          </w:p>
        </w:tc>
      </w:tr>
      <w:tr w:rsidR="004447FE" w:rsidRPr="00D66597" w14:paraId="438F893F" w14:textId="77777777" w:rsidTr="00AC6736">
        <w:tc>
          <w:tcPr>
            <w:tcW w:w="3600" w:type="dxa"/>
          </w:tcPr>
          <w:p w14:paraId="27AE61BA" w14:textId="77777777" w:rsidR="00242EB3" w:rsidRPr="00D27A9C" w:rsidRDefault="00000000">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t>Anuncios</w:t>
            </w:r>
          </w:p>
        </w:tc>
        <w:tc>
          <w:tcPr>
            <w:tcW w:w="7020" w:type="dxa"/>
          </w:tcPr>
          <w:p w14:paraId="67E7D2D1" w14:textId="4AC454F1" w:rsidR="00242EB3" w:rsidRPr="00D27A9C" w:rsidRDefault="00000000">
            <w:pPr>
              <w:spacing w:after="160" w:line="259" w:lineRule="auto"/>
              <w:rPr>
                <w:rFonts w:asciiTheme="majorHAnsi" w:hAnsiTheme="majorHAnsi" w:cstheme="majorHAnsi"/>
                <w:sz w:val="20"/>
                <w:szCs w:val="20"/>
              </w:rPr>
            </w:pPr>
            <w:r w:rsidRPr="00D27A9C">
              <w:rPr>
                <w:rFonts w:asciiTheme="majorHAnsi" w:hAnsiTheme="majorHAnsi" w:cstheme="majorHAnsi"/>
                <w:sz w:val="20"/>
                <w:szCs w:val="20"/>
              </w:rPr>
              <w:t>Próxima reunión 9 de septiembre, 2024</w:t>
            </w:r>
          </w:p>
        </w:tc>
      </w:tr>
      <w:tr w:rsidR="004447FE" w:rsidRPr="00D66597" w14:paraId="36B2EB99" w14:textId="77777777" w:rsidTr="00AC6736">
        <w:trPr>
          <w:trHeight w:val="440"/>
        </w:trPr>
        <w:tc>
          <w:tcPr>
            <w:tcW w:w="3600" w:type="dxa"/>
          </w:tcPr>
          <w:p w14:paraId="7491103F" w14:textId="77777777" w:rsidR="00242EB3" w:rsidRPr="00D27A9C" w:rsidRDefault="00000000">
            <w:pPr>
              <w:rPr>
                <w:rFonts w:asciiTheme="majorHAnsi" w:eastAsia="Assistant" w:hAnsiTheme="majorHAnsi" w:cstheme="majorHAnsi"/>
                <w:b/>
                <w:sz w:val="24"/>
                <w:szCs w:val="24"/>
              </w:rPr>
            </w:pPr>
            <w:r w:rsidRPr="00D27A9C">
              <w:rPr>
                <w:rFonts w:asciiTheme="majorHAnsi" w:eastAsia="Assistant" w:hAnsiTheme="majorHAnsi" w:cstheme="majorHAnsi"/>
                <w:b/>
                <w:sz w:val="24"/>
                <w:szCs w:val="24"/>
              </w:rPr>
              <w:t>APLAZAMIENTO</w:t>
            </w:r>
          </w:p>
        </w:tc>
        <w:tc>
          <w:tcPr>
            <w:tcW w:w="7020" w:type="dxa"/>
          </w:tcPr>
          <w:p w14:paraId="7C294355" w14:textId="7D92B867" w:rsidR="00242EB3" w:rsidRPr="00D27A9C" w:rsidRDefault="00D27A9C">
            <w:pPr>
              <w:pStyle w:val="NoSpacing"/>
              <w:rPr>
                <w:rFonts w:asciiTheme="majorHAnsi" w:hAnsiTheme="majorHAnsi" w:cstheme="majorHAnsi"/>
                <w:sz w:val="20"/>
                <w:szCs w:val="20"/>
              </w:rPr>
            </w:pPr>
            <w:r w:rsidRPr="00D27A9C">
              <w:rPr>
                <w:rFonts w:asciiTheme="majorHAnsi" w:hAnsiTheme="majorHAnsi" w:cstheme="majorHAnsi"/>
                <w:sz w:val="20"/>
                <w:szCs w:val="20"/>
              </w:rPr>
              <w:t>2:02pm</w:t>
            </w:r>
          </w:p>
          <w:p w14:paraId="56091D39" w14:textId="77777777" w:rsidR="004447FE" w:rsidRPr="00D27A9C" w:rsidRDefault="004447FE" w:rsidP="004447FE">
            <w:pPr>
              <w:rPr>
                <w:rFonts w:asciiTheme="majorHAnsi" w:eastAsia="Assistant" w:hAnsiTheme="majorHAnsi" w:cstheme="majorHAnsi"/>
                <w:sz w:val="20"/>
                <w:szCs w:val="20"/>
              </w:rPr>
            </w:pPr>
          </w:p>
        </w:tc>
      </w:tr>
    </w:tbl>
    <w:p w14:paraId="090528E6" w14:textId="77777777" w:rsidR="00385267" w:rsidRPr="00D66597" w:rsidRDefault="00385267" w:rsidP="00A978D0">
      <w:pPr>
        <w:rPr>
          <w:rFonts w:asciiTheme="majorHAnsi" w:eastAsia="Assistant" w:hAnsiTheme="majorHAnsi" w:cstheme="majorHAnsi"/>
          <w:sz w:val="24"/>
          <w:szCs w:val="24"/>
        </w:rPr>
      </w:pPr>
    </w:p>
    <w:sectPr w:rsidR="00385267" w:rsidRPr="00D66597" w:rsidSect="003D22AE">
      <w:type w:val="continuous"/>
      <w:pgSz w:w="12240" w:h="15840"/>
      <w:pgMar w:top="900" w:right="720" w:bottom="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121F0" w14:textId="77777777" w:rsidR="005532FA" w:rsidRDefault="005532FA">
      <w:pPr>
        <w:spacing w:line="240" w:lineRule="auto"/>
      </w:pPr>
      <w:r>
        <w:separator/>
      </w:r>
    </w:p>
  </w:endnote>
  <w:endnote w:type="continuationSeparator" w:id="0">
    <w:p w14:paraId="20009C7F" w14:textId="77777777" w:rsidR="005532FA" w:rsidRDefault="00553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867D" w14:textId="77777777" w:rsidR="00242EB3" w:rsidRDefault="00000000">
    <w:pPr>
      <w:jc w:val="right"/>
    </w:pPr>
    <w:r>
      <w:fldChar w:fldCharType="begin"/>
    </w:r>
    <w:r>
      <w:instrText>PAGE</w:instrText>
    </w:r>
    <w:r>
      <w:fldChar w:fldCharType="separate"/>
    </w:r>
    <w:r w:rsidR="003D22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9C5F" w14:textId="77777777" w:rsidR="005532FA" w:rsidRDefault="005532FA">
      <w:pPr>
        <w:spacing w:line="240" w:lineRule="auto"/>
      </w:pPr>
      <w:r>
        <w:separator/>
      </w:r>
    </w:p>
  </w:footnote>
  <w:footnote w:type="continuationSeparator" w:id="0">
    <w:p w14:paraId="1F0A6D36" w14:textId="77777777" w:rsidR="005532FA" w:rsidRDefault="00553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37FA" w14:textId="77777777" w:rsidR="00ED6CAA" w:rsidRDefault="00385267" w:rsidP="00385267">
    <w:pPr>
      <w:pStyle w:val="Header"/>
      <w:tabs>
        <w:tab w:val="clear" w:pos="4680"/>
        <w:tab w:val="clear" w:pos="9360"/>
        <w:tab w:val="left" w:pos="8475"/>
      </w:tabs>
    </w:pPr>
    <w:r>
      <w:tab/>
    </w:r>
  </w:p>
  <w:p w14:paraId="30E42765" w14:textId="77777777" w:rsidR="00ED6CAA" w:rsidRDefault="00E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E2A"/>
    <w:multiLevelType w:val="hybridMultilevel"/>
    <w:tmpl w:val="2514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7E1"/>
    <w:multiLevelType w:val="hybridMultilevel"/>
    <w:tmpl w:val="D458C3D0"/>
    <w:lvl w:ilvl="0" w:tplc="B3647BD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7DDF"/>
    <w:multiLevelType w:val="hybridMultilevel"/>
    <w:tmpl w:val="706E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DA6"/>
    <w:multiLevelType w:val="hybridMultilevel"/>
    <w:tmpl w:val="52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7291C"/>
    <w:multiLevelType w:val="hybridMultilevel"/>
    <w:tmpl w:val="52C85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A343D4"/>
    <w:multiLevelType w:val="hybridMultilevel"/>
    <w:tmpl w:val="5BA2C3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4077F"/>
    <w:multiLevelType w:val="hybridMultilevel"/>
    <w:tmpl w:val="B47A1F4E"/>
    <w:lvl w:ilvl="0" w:tplc="8BCC8514">
      <w:start w:val="1"/>
      <w:numFmt w:val="decimal"/>
      <w:lvlText w:val="%1."/>
      <w:lvlJc w:val="left"/>
      <w:pPr>
        <w:ind w:left="6930" w:hanging="360"/>
      </w:pPr>
    </w:lvl>
    <w:lvl w:ilvl="1" w:tplc="04090019">
      <w:start w:val="1"/>
      <w:numFmt w:val="lowerLetter"/>
      <w:lvlText w:val="%2."/>
      <w:lvlJc w:val="left"/>
      <w:pPr>
        <w:ind w:left="7650" w:hanging="360"/>
      </w:pPr>
    </w:lvl>
    <w:lvl w:ilvl="2" w:tplc="0409001B">
      <w:start w:val="1"/>
      <w:numFmt w:val="lowerRoman"/>
      <w:lvlText w:val="%3."/>
      <w:lvlJc w:val="right"/>
      <w:pPr>
        <w:ind w:left="8370" w:hanging="180"/>
      </w:pPr>
    </w:lvl>
    <w:lvl w:ilvl="3" w:tplc="0409000F">
      <w:start w:val="1"/>
      <w:numFmt w:val="decimal"/>
      <w:lvlText w:val="%4."/>
      <w:lvlJc w:val="left"/>
      <w:pPr>
        <w:ind w:left="9090" w:hanging="360"/>
      </w:pPr>
    </w:lvl>
    <w:lvl w:ilvl="4" w:tplc="04090019">
      <w:start w:val="1"/>
      <w:numFmt w:val="lowerLetter"/>
      <w:lvlText w:val="%5."/>
      <w:lvlJc w:val="left"/>
      <w:pPr>
        <w:ind w:left="9810" w:hanging="360"/>
      </w:pPr>
    </w:lvl>
    <w:lvl w:ilvl="5" w:tplc="0409001B">
      <w:start w:val="1"/>
      <w:numFmt w:val="lowerRoman"/>
      <w:lvlText w:val="%6."/>
      <w:lvlJc w:val="right"/>
      <w:pPr>
        <w:ind w:left="10530" w:hanging="180"/>
      </w:pPr>
    </w:lvl>
    <w:lvl w:ilvl="6" w:tplc="0409000F">
      <w:start w:val="1"/>
      <w:numFmt w:val="decimal"/>
      <w:lvlText w:val="%7."/>
      <w:lvlJc w:val="left"/>
      <w:pPr>
        <w:ind w:left="11250" w:hanging="360"/>
      </w:pPr>
    </w:lvl>
    <w:lvl w:ilvl="7" w:tplc="04090019">
      <w:start w:val="1"/>
      <w:numFmt w:val="lowerLetter"/>
      <w:lvlText w:val="%8."/>
      <w:lvlJc w:val="left"/>
      <w:pPr>
        <w:ind w:left="11970" w:hanging="360"/>
      </w:pPr>
    </w:lvl>
    <w:lvl w:ilvl="8" w:tplc="0409001B">
      <w:start w:val="1"/>
      <w:numFmt w:val="lowerRoman"/>
      <w:lvlText w:val="%9."/>
      <w:lvlJc w:val="right"/>
      <w:pPr>
        <w:ind w:left="12690" w:hanging="180"/>
      </w:pPr>
    </w:lvl>
  </w:abstractNum>
  <w:abstractNum w:abstractNumId="7" w15:restartNumberingAfterBreak="0">
    <w:nsid w:val="46195FD1"/>
    <w:multiLevelType w:val="hybridMultilevel"/>
    <w:tmpl w:val="1FE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21754"/>
    <w:multiLevelType w:val="hybridMultilevel"/>
    <w:tmpl w:val="4A9CC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76BEA"/>
    <w:multiLevelType w:val="hybridMultilevel"/>
    <w:tmpl w:val="B4ACBC24"/>
    <w:lvl w:ilvl="0" w:tplc="650C0742">
      <w:start w:val="1"/>
      <w:numFmt w:val="upperLetter"/>
      <w:lvlText w:val="%1."/>
      <w:lvlJc w:val="left"/>
      <w:pPr>
        <w:ind w:left="720" w:hanging="360"/>
      </w:pPr>
      <w:rPr>
        <w:rFonts w:asciiTheme="majorHAnsi" w:eastAsia="Assistant" w:hAnsiTheme="majorHAnsi" w:cstheme="majorHAnsi"/>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21810"/>
    <w:multiLevelType w:val="hybridMultilevel"/>
    <w:tmpl w:val="C7B4E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940AF4"/>
    <w:multiLevelType w:val="hybridMultilevel"/>
    <w:tmpl w:val="B72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00C5C"/>
    <w:multiLevelType w:val="hybridMultilevel"/>
    <w:tmpl w:val="AC0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A0E3E"/>
    <w:multiLevelType w:val="hybridMultilevel"/>
    <w:tmpl w:val="93A46A1E"/>
    <w:lvl w:ilvl="0" w:tplc="EC32C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E37CA"/>
    <w:multiLevelType w:val="hybridMultilevel"/>
    <w:tmpl w:val="1BF4B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502C41"/>
    <w:multiLevelType w:val="multilevel"/>
    <w:tmpl w:val="01B4CB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894527">
    <w:abstractNumId w:val="15"/>
  </w:num>
  <w:num w:numId="2" w16cid:durableId="1171985207">
    <w:abstractNumId w:val="4"/>
  </w:num>
  <w:num w:numId="3" w16cid:durableId="2040399303">
    <w:abstractNumId w:val="3"/>
  </w:num>
  <w:num w:numId="4" w16cid:durableId="2047607066">
    <w:abstractNumId w:val="9"/>
  </w:num>
  <w:num w:numId="5" w16cid:durableId="1937594214">
    <w:abstractNumId w:val="2"/>
  </w:num>
  <w:num w:numId="6" w16cid:durableId="860322054">
    <w:abstractNumId w:val="7"/>
  </w:num>
  <w:num w:numId="7" w16cid:durableId="1664696420">
    <w:abstractNumId w:val="5"/>
  </w:num>
  <w:num w:numId="8" w16cid:durableId="376390789">
    <w:abstractNumId w:val="1"/>
  </w:num>
  <w:num w:numId="9" w16cid:durableId="887450671">
    <w:abstractNumId w:val="0"/>
  </w:num>
  <w:num w:numId="10" w16cid:durableId="1632518552">
    <w:abstractNumId w:val="8"/>
  </w:num>
  <w:num w:numId="11" w16cid:durableId="553196923">
    <w:abstractNumId w:val="11"/>
  </w:num>
  <w:num w:numId="12" w16cid:durableId="484973579">
    <w:abstractNumId w:val="13"/>
  </w:num>
  <w:num w:numId="13" w16cid:durableId="2118670014">
    <w:abstractNumId w:val="14"/>
  </w:num>
  <w:num w:numId="14" w16cid:durableId="274557327">
    <w:abstractNumId w:val="10"/>
  </w:num>
  <w:num w:numId="15" w16cid:durableId="30300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100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60"/>
    <w:rsid w:val="00042DDB"/>
    <w:rsid w:val="00044525"/>
    <w:rsid w:val="00044D45"/>
    <w:rsid w:val="00072848"/>
    <w:rsid w:val="000B2DC9"/>
    <w:rsid w:val="000B6665"/>
    <w:rsid w:val="000C0891"/>
    <w:rsid w:val="000F624E"/>
    <w:rsid w:val="001140D6"/>
    <w:rsid w:val="00156542"/>
    <w:rsid w:val="00175592"/>
    <w:rsid w:val="00194B00"/>
    <w:rsid w:val="001F18B8"/>
    <w:rsid w:val="001F1CFB"/>
    <w:rsid w:val="00206912"/>
    <w:rsid w:val="002128C6"/>
    <w:rsid w:val="00217AFB"/>
    <w:rsid w:val="002260B0"/>
    <w:rsid w:val="00242EB3"/>
    <w:rsid w:val="002448D5"/>
    <w:rsid w:val="0024778B"/>
    <w:rsid w:val="00264081"/>
    <w:rsid w:val="002658C8"/>
    <w:rsid w:val="0026694D"/>
    <w:rsid w:val="002B71FE"/>
    <w:rsid w:val="002B7674"/>
    <w:rsid w:val="002C4CE2"/>
    <w:rsid w:val="002C7C84"/>
    <w:rsid w:val="002D340D"/>
    <w:rsid w:val="002F32A5"/>
    <w:rsid w:val="002F634E"/>
    <w:rsid w:val="00336F60"/>
    <w:rsid w:val="003436AF"/>
    <w:rsid w:val="00343810"/>
    <w:rsid w:val="00370CFC"/>
    <w:rsid w:val="00385267"/>
    <w:rsid w:val="00391B3B"/>
    <w:rsid w:val="003A1267"/>
    <w:rsid w:val="003A6972"/>
    <w:rsid w:val="003B2229"/>
    <w:rsid w:val="003D22AE"/>
    <w:rsid w:val="00403906"/>
    <w:rsid w:val="00411D7A"/>
    <w:rsid w:val="00440763"/>
    <w:rsid w:val="004447FE"/>
    <w:rsid w:val="00455DD1"/>
    <w:rsid w:val="00462DAF"/>
    <w:rsid w:val="00467364"/>
    <w:rsid w:val="00471B66"/>
    <w:rsid w:val="0047603D"/>
    <w:rsid w:val="004901AD"/>
    <w:rsid w:val="00496516"/>
    <w:rsid w:val="004D7077"/>
    <w:rsid w:val="005045A7"/>
    <w:rsid w:val="005156B3"/>
    <w:rsid w:val="00515734"/>
    <w:rsid w:val="00517DC2"/>
    <w:rsid w:val="005273FD"/>
    <w:rsid w:val="00532644"/>
    <w:rsid w:val="00542921"/>
    <w:rsid w:val="005532FA"/>
    <w:rsid w:val="00556D50"/>
    <w:rsid w:val="005A3D12"/>
    <w:rsid w:val="005C2E73"/>
    <w:rsid w:val="005D42AC"/>
    <w:rsid w:val="00603D8C"/>
    <w:rsid w:val="006673B6"/>
    <w:rsid w:val="00667F7F"/>
    <w:rsid w:val="00684131"/>
    <w:rsid w:val="0069098C"/>
    <w:rsid w:val="00693196"/>
    <w:rsid w:val="006A75C3"/>
    <w:rsid w:val="006B6FB3"/>
    <w:rsid w:val="006D1DE7"/>
    <w:rsid w:val="00706FF2"/>
    <w:rsid w:val="007109F2"/>
    <w:rsid w:val="00711871"/>
    <w:rsid w:val="007204C9"/>
    <w:rsid w:val="007566CB"/>
    <w:rsid w:val="007601D0"/>
    <w:rsid w:val="00782299"/>
    <w:rsid w:val="007B02A8"/>
    <w:rsid w:val="007F7929"/>
    <w:rsid w:val="00825202"/>
    <w:rsid w:val="008466ED"/>
    <w:rsid w:val="008715F7"/>
    <w:rsid w:val="0088302E"/>
    <w:rsid w:val="00890922"/>
    <w:rsid w:val="00891663"/>
    <w:rsid w:val="008B7752"/>
    <w:rsid w:val="008E66F7"/>
    <w:rsid w:val="008E796B"/>
    <w:rsid w:val="008F513B"/>
    <w:rsid w:val="009247AA"/>
    <w:rsid w:val="00930025"/>
    <w:rsid w:val="009424B2"/>
    <w:rsid w:val="00944FAC"/>
    <w:rsid w:val="0095764E"/>
    <w:rsid w:val="009604E7"/>
    <w:rsid w:val="0096321D"/>
    <w:rsid w:val="009738EC"/>
    <w:rsid w:val="00995DC7"/>
    <w:rsid w:val="00A415CA"/>
    <w:rsid w:val="00A55601"/>
    <w:rsid w:val="00A754BE"/>
    <w:rsid w:val="00A978D0"/>
    <w:rsid w:val="00AC6736"/>
    <w:rsid w:val="00AE1AD5"/>
    <w:rsid w:val="00B1217D"/>
    <w:rsid w:val="00B24369"/>
    <w:rsid w:val="00B2576D"/>
    <w:rsid w:val="00B344D2"/>
    <w:rsid w:val="00B50C73"/>
    <w:rsid w:val="00B55B0A"/>
    <w:rsid w:val="00B7357C"/>
    <w:rsid w:val="00B82C3F"/>
    <w:rsid w:val="00BA216B"/>
    <w:rsid w:val="00BB215E"/>
    <w:rsid w:val="00BD11DD"/>
    <w:rsid w:val="00BE078E"/>
    <w:rsid w:val="00BE686B"/>
    <w:rsid w:val="00BE6D82"/>
    <w:rsid w:val="00BF2EE0"/>
    <w:rsid w:val="00C131CF"/>
    <w:rsid w:val="00C20B5F"/>
    <w:rsid w:val="00C25972"/>
    <w:rsid w:val="00C53098"/>
    <w:rsid w:val="00C572BA"/>
    <w:rsid w:val="00C779B6"/>
    <w:rsid w:val="00C94A8D"/>
    <w:rsid w:val="00CB0C81"/>
    <w:rsid w:val="00D21AAB"/>
    <w:rsid w:val="00D23296"/>
    <w:rsid w:val="00D23D88"/>
    <w:rsid w:val="00D27A9C"/>
    <w:rsid w:val="00D37891"/>
    <w:rsid w:val="00D61082"/>
    <w:rsid w:val="00D616A0"/>
    <w:rsid w:val="00D61C46"/>
    <w:rsid w:val="00D66597"/>
    <w:rsid w:val="00D828C3"/>
    <w:rsid w:val="00D90D1E"/>
    <w:rsid w:val="00DE11A1"/>
    <w:rsid w:val="00E20E79"/>
    <w:rsid w:val="00E36EEF"/>
    <w:rsid w:val="00E51614"/>
    <w:rsid w:val="00E51860"/>
    <w:rsid w:val="00E53038"/>
    <w:rsid w:val="00E67F3D"/>
    <w:rsid w:val="00E960DE"/>
    <w:rsid w:val="00E96EE7"/>
    <w:rsid w:val="00EB3924"/>
    <w:rsid w:val="00EC2707"/>
    <w:rsid w:val="00EC33EA"/>
    <w:rsid w:val="00EC7BF1"/>
    <w:rsid w:val="00ED6CAA"/>
    <w:rsid w:val="00EF172A"/>
    <w:rsid w:val="00EF25AD"/>
    <w:rsid w:val="00EF6F92"/>
    <w:rsid w:val="00F43BC0"/>
    <w:rsid w:val="00F76B5A"/>
    <w:rsid w:val="00F821C2"/>
    <w:rsid w:val="00F84EC0"/>
    <w:rsid w:val="00FA0DC8"/>
    <w:rsid w:val="00FF3A29"/>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7125"/>
  <w15:docId w15:val="{AC62BEE4-CF2B-4DD1-95CF-0A41F9E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54BE"/>
    <w:pPr>
      <w:ind w:left="720"/>
      <w:contextualSpacing/>
    </w:pPr>
  </w:style>
  <w:style w:type="character" w:styleId="Hyperlink">
    <w:name w:val="Hyperlink"/>
    <w:basedOn w:val="DefaultParagraphFont"/>
    <w:uiPriority w:val="99"/>
    <w:unhideWhenUsed/>
    <w:rsid w:val="00411D7A"/>
    <w:rPr>
      <w:color w:val="0000FF" w:themeColor="hyperlink"/>
      <w:u w:val="single"/>
    </w:rPr>
  </w:style>
  <w:style w:type="character" w:styleId="Strong">
    <w:name w:val="Strong"/>
    <w:basedOn w:val="DefaultParagraphFont"/>
    <w:uiPriority w:val="22"/>
    <w:qFormat/>
    <w:rsid w:val="00411D7A"/>
    <w:rPr>
      <w:b/>
      <w:bCs/>
    </w:rPr>
  </w:style>
  <w:style w:type="paragraph" w:styleId="Header">
    <w:name w:val="header"/>
    <w:basedOn w:val="Normal"/>
    <w:link w:val="HeaderChar"/>
    <w:uiPriority w:val="99"/>
    <w:unhideWhenUsed/>
    <w:rsid w:val="008E796B"/>
    <w:pPr>
      <w:tabs>
        <w:tab w:val="center" w:pos="4680"/>
        <w:tab w:val="right" w:pos="9360"/>
      </w:tabs>
      <w:spacing w:line="240" w:lineRule="auto"/>
    </w:pPr>
  </w:style>
  <w:style w:type="character" w:customStyle="1" w:styleId="HeaderChar">
    <w:name w:val="Header Char"/>
    <w:basedOn w:val="DefaultParagraphFont"/>
    <w:link w:val="Header"/>
    <w:uiPriority w:val="99"/>
    <w:rsid w:val="008E796B"/>
  </w:style>
  <w:style w:type="paragraph" w:styleId="Footer">
    <w:name w:val="footer"/>
    <w:basedOn w:val="Normal"/>
    <w:link w:val="FooterChar"/>
    <w:uiPriority w:val="99"/>
    <w:unhideWhenUsed/>
    <w:rsid w:val="008E796B"/>
    <w:pPr>
      <w:tabs>
        <w:tab w:val="center" w:pos="4680"/>
        <w:tab w:val="right" w:pos="9360"/>
      </w:tabs>
      <w:spacing w:line="240" w:lineRule="auto"/>
    </w:pPr>
  </w:style>
  <w:style w:type="character" w:customStyle="1" w:styleId="FooterChar">
    <w:name w:val="Footer Char"/>
    <w:basedOn w:val="DefaultParagraphFont"/>
    <w:link w:val="Footer"/>
    <w:uiPriority w:val="99"/>
    <w:rsid w:val="008E796B"/>
  </w:style>
  <w:style w:type="table" w:styleId="TableGrid">
    <w:name w:val="Table Grid"/>
    <w:basedOn w:val="TableNormal"/>
    <w:uiPriority w:val="39"/>
    <w:rsid w:val="00E53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736"/>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2C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8182">
      <w:bodyDiv w:val="1"/>
      <w:marLeft w:val="0"/>
      <w:marRight w:val="0"/>
      <w:marTop w:val="0"/>
      <w:marBottom w:val="0"/>
      <w:divBdr>
        <w:top w:val="none" w:sz="0" w:space="0" w:color="auto"/>
        <w:left w:val="none" w:sz="0" w:space="0" w:color="auto"/>
        <w:bottom w:val="none" w:sz="0" w:space="0" w:color="auto"/>
        <w:right w:val="none" w:sz="0" w:space="0" w:color="auto"/>
      </w:divBdr>
      <w:divsChild>
        <w:div w:id="36201529">
          <w:marLeft w:val="0"/>
          <w:marRight w:val="0"/>
          <w:marTop w:val="0"/>
          <w:marBottom w:val="0"/>
          <w:divBdr>
            <w:top w:val="none" w:sz="0" w:space="0" w:color="auto"/>
            <w:left w:val="none" w:sz="0" w:space="0" w:color="auto"/>
            <w:bottom w:val="none" w:sz="0" w:space="0" w:color="auto"/>
            <w:right w:val="none" w:sz="0" w:space="0" w:color="auto"/>
          </w:divBdr>
        </w:div>
      </w:divsChild>
    </w:div>
    <w:div w:id="268046618">
      <w:bodyDiv w:val="1"/>
      <w:marLeft w:val="0"/>
      <w:marRight w:val="0"/>
      <w:marTop w:val="0"/>
      <w:marBottom w:val="0"/>
      <w:divBdr>
        <w:top w:val="none" w:sz="0" w:space="0" w:color="auto"/>
        <w:left w:val="none" w:sz="0" w:space="0" w:color="auto"/>
        <w:bottom w:val="none" w:sz="0" w:space="0" w:color="auto"/>
        <w:right w:val="none" w:sz="0" w:space="0" w:color="auto"/>
      </w:divBdr>
    </w:div>
    <w:div w:id="751199767">
      <w:bodyDiv w:val="1"/>
      <w:marLeft w:val="0"/>
      <w:marRight w:val="0"/>
      <w:marTop w:val="0"/>
      <w:marBottom w:val="0"/>
      <w:divBdr>
        <w:top w:val="none" w:sz="0" w:space="0" w:color="auto"/>
        <w:left w:val="none" w:sz="0" w:space="0" w:color="auto"/>
        <w:bottom w:val="none" w:sz="0" w:space="0" w:color="auto"/>
        <w:right w:val="none" w:sz="0" w:space="0" w:color="auto"/>
      </w:divBdr>
    </w:div>
    <w:div w:id="1323193411">
      <w:bodyDiv w:val="1"/>
      <w:marLeft w:val="0"/>
      <w:marRight w:val="0"/>
      <w:marTop w:val="0"/>
      <w:marBottom w:val="0"/>
      <w:divBdr>
        <w:top w:val="none" w:sz="0" w:space="0" w:color="auto"/>
        <w:left w:val="none" w:sz="0" w:space="0" w:color="auto"/>
        <w:bottom w:val="none" w:sz="0" w:space="0" w:color="auto"/>
        <w:right w:val="none" w:sz="0" w:space="0" w:color="auto"/>
      </w:divBdr>
    </w:div>
    <w:div w:id="1454866370">
      <w:bodyDiv w:val="1"/>
      <w:marLeft w:val="0"/>
      <w:marRight w:val="0"/>
      <w:marTop w:val="0"/>
      <w:marBottom w:val="0"/>
      <w:divBdr>
        <w:top w:val="none" w:sz="0" w:space="0" w:color="auto"/>
        <w:left w:val="none" w:sz="0" w:space="0" w:color="auto"/>
        <w:bottom w:val="none" w:sz="0" w:space="0" w:color="auto"/>
        <w:right w:val="none" w:sz="0" w:space="0" w:color="auto"/>
      </w:divBdr>
    </w:div>
    <w:div w:id="1538157442">
      <w:bodyDiv w:val="1"/>
      <w:marLeft w:val="0"/>
      <w:marRight w:val="0"/>
      <w:marTop w:val="0"/>
      <w:marBottom w:val="0"/>
      <w:divBdr>
        <w:top w:val="none" w:sz="0" w:space="0" w:color="auto"/>
        <w:left w:val="none" w:sz="0" w:space="0" w:color="auto"/>
        <w:bottom w:val="none" w:sz="0" w:space="0" w:color="auto"/>
        <w:right w:val="none" w:sz="0" w:space="0" w:color="auto"/>
      </w:divBdr>
    </w:div>
    <w:div w:id="1710565028">
      <w:bodyDiv w:val="1"/>
      <w:marLeft w:val="0"/>
      <w:marRight w:val="0"/>
      <w:marTop w:val="0"/>
      <w:marBottom w:val="0"/>
      <w:divBdr>
        <w:top w:val="none" w:sz="0" w:space="0" w:color="auto"/>
        <w:left w:val="none" w:sz="0" w:space="0" w:color="auto"/>
        <w:bottom w:val="none" w:sz="0" w:space="0" w:color="auto"/>
        <w:right w:val="none" w:sz="0" w:space="0" w:color="auto"/>
      </w:divBdr>
    </w:div>
    <w:div w:id="191465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ACB2B5EA8794DA2FC3C15619FDC7E" ma:contentTypeVersion="4" ma:contentTypeDescription="Create a new document." ma:contentTypeScope="" ma:versionID="790327790e45e78a9e0dc9d28311f96e">
  <xsd:schema xmlns:xsd="http://www.w3.org/2001/XMLSchema" xmlns:xs="http://www.w3.org/2001/XMLSchema" xmlns:p="http://schemas.microsoft.com/office/2006/metadata/properties" xmlns:ns3="ee5a10c7-a8ea-4457-94c5-f99ac428d013" targetNamespace="http://schemas.microsoft.com/office/2006/metadata/properties" ma:root="true" ma:fieldsID="d8d71acaa1ded774b5bfd2a144627870" ns3:_="">
    <xsd:import namespace="ee5a10c7-a8ea-4457-94c5-f99ac428d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10c7-a8ea-4457-94c5-f99ac428d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B46C8-74D2-4EE0-8D0D-622CC0DA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10c7-a8ea-4457-94c5-f99ac428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8CD43-8F84-4218-A95A-19AF537D7D41}">
  <ds:schemaRefs>
    <ds:schemaRef ds:uri="http://schemas.microsoft.com/sharepoint/v3/contenttype/forms"/>
  </ds:schemaRefs>
</ds:datastoreItem>
</file>

<file path=customXml/itemProps3.xml><?xml version="1.0" encoding="utf-8"?>
<ds:datastoreItem xmlns:ds="http://schemas.openxmlformats.org/officeDocument/2006/customXml" ds:itemID="{F3C1688B-CD22-4894-BAE3-30768DFF40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Rosales EXT. (1190) (SDP)</dc:creator>
  <cp:keywords>, docId:04A8FB2BB343600343269F3B287481A7</cp:keywords>
  <cp:lastModifiedBy>Ellisa Reiff Ext. 1261 (SDX)</cp:lastModifiedBy>
  <cp:revision>2</cp:revision>
  <cp:lastPrinted>2021-12-28T21:20:00Z</cp:lastPrinted>
  <dcterms:created xsi:type="dcterms:W3CDTF">2024-09-12T15:47:00Z</dcterms:created>
  <dcterms:modified xsi:type="dcterms:W3CDTF">2024-09-12T15:47:00Z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0x0101000CDACB2B5EA8794DA2FC3C15619FDC7E</vt:lpwstr>
  </property>
</Properties>
</file>