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3AA2C5" w14:textId="77777777" w:rsidR="00EC7BF1" w:rsidRDefault="00EF172A" w:rsidP="00EC7BF1">
      <w:pPr>
        <w:spacing w:line="240" w:lineRule="auto"/>
        <w:ind w:left="-720"/>
        <w:rPr>
          <w:rFonts w:asciiTheme="majorHAnsi" w:eastAsia="Assistant" w:hAnsiTheme="majorHAnsi" w:cstheme="majorHAnsi"/>
          <w:b/>
          <w:sz w:val="28"/>
          <w:szCs w:val="28"/>
        </w:rPr>
      </w:pPr>
      <w:r>
        <w:rPr>
          <w:rFonts w:asciiTheme="majorHAnsi" w:eastAsia="Assistant" w:hAnsiTheme="majorHAnsi" w:cstheme="majorHAnsi"/>
          <w:b/>
          <w:noProof/>
          <w:color w:val="365F91" w:themeColor="accent1" w:themeShade="BF"/>
          <w:sz w:val="28"/>
          <w:szCs w:val="28"/>
          <w:lang w:val="en-US"/>
        </w:rPr>
        <w:drawing>
          <wp:anchor distT="0" distB="0" distL="114300" distR="114300" simplePos="0" relativeHeight="251665408" behindDoc="1" locked="0" layoutInCell="1" allowOverlap="1" wp14:anchorId="76DAA205" wp14:editId="66EEE2E1">
            <wp:simplePos x="0" y="0"/>
            <wp:positionH relativeFrom="column">
              <wp:posOffset>-380365</wp:posOffset>
            </wp:positionH>
            <wp:positionV relativeFrom="paragraph">
              <wp:posOffset>-359410</wp:posOffset>
            </wp:positionV>
            <wp:extent cx="723900" cy="691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325"/>
                    </a:xfrm>
                    <a:prstGeom prst="rect">
                      <a:avLst/>
                    </a:prstGeom>
                  </pic:spPr>
                </pic:pic>
              </a:graphicData>
            </a:graphic>
            <wp14:sizeRelH relativeFrom="margin">
              <wp14:pctWidth>0</wp14:pctWidth>
            </wp14:sizeRelH>
            <wp14:sizeRelV relativeFrom="margin">
              <wp14:pctHeight>0</wp14:pctHeight>
            </wp14:sizeRelV>
          </wp:anchor>
        </w:drawing>
      </w:r>
    </w:p>
    <w:p w14:paraId="388346BE" w14:textId="77777777" w:rsidR="00EC7BF1" w:rsidRDefault="00EC7BF1" w:rsidP="002F32A5">
      <w:pPr>
        <w:spacing w:line="240" w:lineRule="auto"/>
        <w:rPr>
          <w:rFonts w:asciiTheme="majorHAnsi" w:eastAsia="Assistant" w:hAnsiTheme="majorHAnsi" w:cstheme="majorHAnsi"/>
          <w:b/>
          <w:sz w:val="28"/>
          <w:szCs w:val="28"/>
        </w:rPr>
      </w:pPr>
    </w:p>
    <w:p w14:paraId="1F3DC56F" w14:textId="09D21F20" w:rsidR="00EF172A" w:rsidRPr="003B2229" w:rsidRDefault="00DA592D" w:rsidP="003B2229">
      <w:pPr>
        <w:spacing w:line="240" w:lineRule="auto"/>
        <w:ind w:left="-720"/>
        <w:rPr>
          <w:rFonts w:asciiTheme="majorHAnsi" w:eastAsia="Assistant" w:hAnsiTheme="majorHAnsi" w:cstheme="majorHAnsi"/>
          <w:b/>
          <w:sz w:val="24"/>
          <w:szCs w:val="24"/>
        </w:rPr>
      </w:pPr>
      <w:r w:rsidRPr="00DA592D">
        <w:rPr>
          <w:rFonts w:asciiTheme="majorHAnsi" w:eastAsia="Assistant" w:hAnsiTheme="majorHAnsi" w:cstheme="majorHAnsi"/>
          <w:b/>
          <w:sz w:val="36"/>
          <w:szCs w:val="36"/>
        </w:rPr>
        <w:t>Centro Regional del Norte de la Bahía</w:t>
      </w:r>
      <w:r w:rsidR="003B2229" w:rsidRPr="003B2229">
        <w:rPr>
          <w:rFonts w:asciiTheme="majorHAnsi" w:eastAsia="Assistant" w:hAnsiTheme="majorHAnsi" w:cstheme="majorHAnsi"/>
          <w:b/>
          <w:sz w:val="36"/>
          <w:szCs w:val="36"/>
        </w:rPr>
        <w:br/>
      </w:r>
    </w:p>
    <w:p w14:paraId="1FCC0812" w14:textId="042DCE60" w:rsidR="00A978D0" w:rsidRDefault="00DA592D" w:rsidP="008B7752">
      <w:pPr>
        <w:spacing w:line="240" w:lineRule="auto"/>
        <w:ind w:left="-720"/>
        <w:rPr>
          <w:rFonts w:asciiTheme="majorHAnsi" w:eastAsia="Assistant" w:hAnsiTheme="majorHAnsi" w:cstheme="majorHAnsi"/>
          <w:b/>
          <w:sz w:val="44"/>
          <w:szCs w:val="44"/>
        </w:rPr>
      </w:pPr>
      <w:r w:rsidRPr="00DA592D">
        <w:rPr>
          <w:rFonts w:asciiTheme="majorHAnsi" w:eastAsia="Assistant" w:hAnsiTheme="majorHAnsi" w:cstheme="majorHAnsi"/>
          <w:b/>
          <w:sz w:val="44"/>
          <w:szCs w:val="44"/>
        </w:rPr>
        <w:t>Reunión Especial del Comité</w:t>
      </w:r>
      <w:r w:rsidR="006B6FB3" w:rsidRPr="002F32A5">
        <w:rPr>
          <w:rFonts w:asciiTheme="majorHAnsi" w:eastAsia="Assistant" w:hAnsiTheme="majorHAnsi" w:cstheme="majorHAnsi"/>
          <w:b/>
          <w:sz w:val="44"/>
          <w:szCs w:val="44"/>
        </w:rPr>
        <w:t xml:space="preserve"> </w:t>
      </w:r>
      <w:r w:rsidR="00D66597">
        <w:rPr>
          <w:rFonts w:asciiTheme="majorHAnsi" w:eastAsia="Assistant" w:hAnsiTheme="majorHAnsi" w:cstheme="majorHAnsi"/>
          <w:b/>
          <w:sz w:val="44"/>
          <w:szCs w:val="44"/>
        </w:rPr>
        <w:br/>
      </w:r>
      <w:r w:rsidRPr="00DA592D">
        <w:rPr>
          <w:rFonts w:asciiTheme="majorHAnsi" w:eastAsia="Assistant" w:hAnsiTheme="majorHAnsi" w:cstheme="majorHAnsi"/>
          <w:b/>
          <w:sz w:val="44"/>
          <w:szCs w:val="44"/>
        </w:rPr>
        <w:t>Consultivo de Autodeterminación</w:t>
      </w:r>
    </w:p>
    <w:p w14:paraId="715E5EB9" w14:textId="77777777" w:rsidR="00D66597" w:rsidRDefault="00D66597" w:rsidP="008B7752">
      <w:pPr>
        <w:spacing w:line="240" w:lineRule="auto"/>
        <w:ind w:left="-720"/>
        <w:rPr>
          <w:rFonts w:asciiTheme="majorHAnsi" w:eastAsia="Assistant" w:hAnsiTheme="majorHAnsi" w:cstheme="majorHAnsi"/>
          <w:b/>
          <w:sz w:val="44"/>
          <w:szCs w:val="44"/>
        </w:rPr>
      </w:pPr>
    </w:p>
    <w:p w14:paraId="4430E69D" w14:textId="77777777" w:rsidR="007959D2" w:rsidRDefault="007959D2" w:rsidP="00D66597">
      <w:pPr>
        <w:spacing w:line="240" w:lineRule="auto"/>
        <w:ind w:left="-720"/>
        <w:rPr>
          <w:rFonts w:asciiTheme="majorHAnsi" w:eastAsia="Assistant" w:hAnsiTheme="majorHAnsi" w:cstheme="majorHAnsi"/>
          <w:b/>
          <w:sz w:val="36"/>
          <w:szCs w:val="36"/>
        </w:rPr>
      </w:pPr>
      <w:r w:rsidRPr="007959D2">
        <w:rPr>
          <w:rFonts w:asciiTheme="majorHAnsi" w:eastAsia="Assistant" w:hAnsiTheme="majorHAnsi" w:cstheme="majorHAnsi"/>
          <w:b/>
          <w:sz w:val="36"/>
          <w:szCs w:val="36"/>
        </w:rPr>
        <w:t xml:space="preserve">9 de septiembre de 2024 </w:t>
      </w:r>
    </w:p>
    <w:p w14:paraId="50CAFFB5" w14:textId="4FCB455D" w:rsidR="00D66597" w:rsidRPr="00D66597" w:rsidRDefault="00D66597" w:rsidP="00D66597">
      <w:pPr>
        <w:spacing w:line="240" w:lineRule="auto"/>
        <w:ind w:left="-720"/>
        <w:rPr>
          <w:rFonts w:asciiTheme="majorHAnsi" w:eastAsia="Assistant" w:hAnsiTheme="majorHAnsi" w:cstheme="majorHAnsi"/>
          <w:b/>
          <w:sz w:val="36"/>
          <w:szCs w:val="36"/>
        </w:rPr>
        <w:sectPr w:rsidR="00D66597" w:rsidRPr="00D66597" w:rsidSect="00BA216B">
          <w:headerReference w:type="default" r:id="rId11"/>
          <w:footerReference w:type="default" r:id="rId12"/>
          <w:pgSz w:w="12240" w:h="15840"/>
          <w:pgMar w:top="900" w:right="1440" w:bottom="1440" w:left="1440" w:header="720" w:footer="720" w:gutter="0"/>
          <w:pgNumType w:start="1"/>
          <w:cols w:space="720"/>
          <w:docGrid w:linePitch="299"/>
        </w:sectPr>
      </w:pPr>
      <w:r>
        <w:rPr>
          <w:rFonts w:asciiTheme="majorHAnsi" w:eastAsia="Assistant" w:hAnsiTheme="majorHAnsi" w:cstheme="majorHAnsi"/>
          <w:b/>
          <w:sz w:val="36"/>
          <w:szCs w:val="36"/>
        </w:rPr>
        <w:t>12:30 – 2 pm</w:t>
      </w:r>
    </w:p>
    <w:p w14:paraId="16C09EC5" w14:textId="77777777" w:rsidR="00BF2EE0" w:rsidRDefault="00BF2EE0" w:rsidP="00AC6736">
      <w:pPr>
        <w:spacing w:line="240" w:lineRule="auto"/>
        <w:rPr>
          <w:rFonts w:asciiTheme="majorHAnsi" w:eastAsia="Assistant" w:hAnsiTheme="majorHAnsi" w:cstheme="majorHAnsi"/>
          <w:b/>
          <w:color w:val="365F91" w:themeColor="accent1" w:themeShade="BF"/>
          <w:sz w:val="44"/>
          <w:szCs w:val="44"/>
        </w:rPr>
      </w:pPr>
    </w:p>
    <w:p w14:paraId="7697A123" w14:textId="11227BD3" w:rsidR="00385267" w:rsidRPr="00D66597" w:rsidRDefault="00DA592D" w:rsidP="00D66597">
      <w:pPr>
        <w:spacing w:line="240" w:lineRule="auto"/>
        <w:ind w:left="90"/>
        <w:jc w:val="center"/>
        <w:rPr>
          <w:rFonts w:asciiTheme="majorHAnsi" w:eastAsia="Assistant" w:hAnsiTheme="majorHAnsi" w:cstheme="majorHAnsi"/>
          <w:b/>
          <w:sz w:val="44"/>
          <w:szCs w:val="44"/>
        </w:rPr>
      </w:pPr>
      <w:r w:rsidRPr="00DA592D">
        <w:rPr>
          <w:rFonts w:asciiTheme="majorHAnsi" w:eastAsia="Assistant" w:hAnsiTheme="majorHAnsi" w:cstheme="majorHAnsi"/>
          <w:b/>
          <w:sz w:val="44"/>
          <w:szCs w:val="44"/>
        </w:rPr>
        <w:t>ACTAS</w:t>
      </w:r>
    </w:p>
    <w:p w14:paraId="320DB70C" w14:textId="77777777" w:rsidR="00336F60" w:rsidRPr="00D66597" w:rsidRDefault="00336F60" w:rsidP="00E53038">
      <w:pPr>
        <w:spacing w:line="240" w:lineRule="auto"/>
        <w:rPr>
          <w:rFonts w:asciiTheme="majorHAnsi" w:eastAsia="Assistant" w:hAnsiTheme="majorHAnsi" w:cstheme="majorHAnsi"/>
          <w:sz w:val="24"/>
          <w:szCs w:val="24"/>
        </w:rPr>
      </w:pPr>
    </w:p>
    <w:tbl>
      <w:tblPr>
        <w:tblStyle w:val="TableGrid"/>
        <w:tblW w:w="10620" w:type="dxa"/>
        <w:tblInd w:w="-5" w:type="dxa"/>
        <w:tblLook w:val="04A0" w:firstRow="1" w:lastRow="0" w:firstColumn="1" w:lastColumn="0" w:noHBand="0" w:noVBand="1"/>
      </w:tblPr>
      <w:tblGrid>
        <w:gridCol w:w="3600"/>
        <w:gridCol w:w="7020"/>
      </w:tblGrid>
      <w:tr w:rsidR="00D66597" w:rsidRPr="00B05A9F" w14:paraId="6F728838" w14:textId="77777777" w:rsidTr="00AC6736">
        <w:tc>
          <w:tcPr>
            <w:tcW w:w="3600" w:type="dxa"/>
          </w:tcPr>
          <w:p w14:paraId="53342099" w14:textId="30DF15BC" w:rsidR="00E53038" w:rsidRPr="00D66597" w:rsidRDefault="00DA592D" w:rsidP="00A415CA">
            <w:pPr>
              <w:rPr>
                <w:rFonts w:asciiTheme="majorHAnsi" w:eastAsia="Assistant" w:hAnsiTheme="majorHAnsi" w:cstheme="majorHAnsi"/>
                <w:b/>
                <w:sz w:val="28"/>
                <w:szCs w:val="28"/>
              </w:rPr>
            </w:pPr>
            <w:r w:rsidRPr="00DA592D">
              <w:rPr>
                <w:rFonts w:asciiTheme="majorHAnsi" w:eastAsia="Assistant" w:hAnsiTheme="majorHAnsi" w:cstheme="majorHAnsi"/>
                <w:b/>
                <w:sz w:val="28"/>
                <w:szCs w:val="28"/>
              </w:rPr>
              <w:t>LLAMADA AL ORDEN</w:t>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p>
          <w:p w14:paraId="11D3743D" w14:textId="32CAD381" w:rsidR="002260B0" w:rsidRPr="00D66597" w:rsidRDefault="00DA592D" w:rsidP="00AC6736">
            <w:pPr>
              <w:pStyle w:val="ListParagraph"/>
              <w:numPr>
                <w:ilvl w:val="0"/>
                <w:numId w:val="4"/>
              </w:numPr>
              <w:ind w:left="435"/>
              <w:rPr>
                <w:rFonts w:asciiTheme="majorHAnsi" w:eastAsia="Assistant" w:hAnsiTheme="majorHAnsi" w:cstheme="majorHAnsi"/>
                <w:sz w:val="24"/>
                <w:szCs w:val="24"/>
              </w:rPr>
            </w:pPr>
            <w:r w:rsidRPr="00DA592D">
              <w:rPr>
                <w:rFonts w:asciiTheme="majorHAnsi" w:eastAsia="Assistant" w:hAnsiTheme="majorHAnsi" w:cstheme="majorHAnsi"/>
                <w:sz w:val="24"/>
                <w:szCs w:val="24"/>
              </w:rPr>
              <w:t xml:space="preserve">Introducciones </w:t>
            </w:r>
          </w:p>
          <w:p w14:paraId="781EF5CA" w14:textId="2D11B66A" w:rsidR="00E53038" w:rsidRPr="00D66597" w:rsidRDefault="00DA592D" w:rsidP="00AC6736">
            <w:pPr>
              <w:pStyle w:val="ListParagraph"/>
              <w:numPr>
                <w:ilvl w:val="0"/>
                <w:numId w:val="4"/>
              </w:numPr>
              <w:ind w:left="435"/>
              <w:rPr>
                <w:rFonts w:asciiTheme="majorHAnsi" w:eastAsia="Assistant" w:hAnsiTheme="majorHAnsi" w:cstheme="majorHAnsi"/>
                <w:sz w:val="28"/>
                <w:szCs w:val="28"/>
              </w:rPr>
            </w:pPr>
            <w:r w:rsidRPr="00DA592D">
              <w:rPr>
                <w:rFonts w:asciiTheme="majorHAnsi" w:eastAsia="Assistant" w:hAnsiTheme="majorHAnsi" w:cstheme="majorHAnsi"/>
                <w:sz w:val="24"/>
                <w:szCs w:val="24"/>
              </w:rPr>
              <w:t>Establecimiento del Quórum</w:t>
            </w:r>
            <w:r w:rsidR="00E53038" w:rsidRPr="00D66597">
              <w:rPr>
                <w:rFonts w:asciiTheme="majorHAnsi" w:eastAsia="Assistant" w:hAnsiTheme="majorHAnsi" w:cstheme="majorHAnsi"/>
                <w:sz w:val="24"/>
                <w:szCs w:val="24"/>
              </w:rPr>
              <w:t xml:space="preserve"> </w:t>
            </w:r>
            <w:r w:rsidR="00E53038" w:rsidRPr="00D66597">
              <w:rPr>
                <w:rFonts w:asciiTheme="majorHAnsi" w:eastAsia="Assistant" w:hAnsiTheme="majorHAnsi" w:cstheme="majorHAnsi"/>
                <w:sz w:val="28"/>
                <w:szCs w:val="28"/>
              </w:rPr>
              <w:br/>
            </w:r>
          </w:p>
        </w:tc>
        <w:tc>
          <w:tcPr>
            <w:tcW w:w="7020" w:type="dxa"/>
          </w:tcPr>
          <w:p w14:paraId="2326D248" w14:textId="20361BEB" w:rsidR="00FB227A" w:rsidRPr="00B05A9F" w:rsidRDefault="00FB227A" w:rsidP="00FB227A">
            <w:p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u w:val="single"/>
              </w:rPr>
              <w:t xml:space="preserve">A. </w:t>
            </w:r>
            <w:r w:rsidR="00DA592D" w:rsidRPr="00DA592D">
              <w:rPr>
                <w:rFonts w:asciiTheme="majorHAnsi" w:eastAsiaTheme="minorHAnsi" w:hAnsiTheme="majorHAnsi" w:cstheme="majorHAnsi"/>
                <w:sz w:val="24"/>
                <w:szCs w:val="24"/>
                <w:u w:val="single"/>
              </w:rPr>
              <w:t>Comité</w:t>
            </w:r>
            <w:r w:rsidRPr="00B05A9F">
              <w:rPr>
                <w:rFonts w:asciiTheme="majorHAnsi" w:eastAsiaTheme="minorHAnsi" w:hAnsiTheme="majorHAnsi" w:cstheme="majorHAnsi"/>
                <w:sz w:val="24"/>
                <w:szCs w:val="24"/>
                <w:u w:val="single"/>
              </w:rPr>
              <w:t>:</w:t>
            </w:r>
          </w:p>
          <w:p w14:paraId="235DDABE" w14:textId="09C7903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Debbie Hight, </w:t>
            </w:r>
            <w:r w:rsidR="00DA592D" w:rsidRPr="00DA592D">
              <w:rPr>
                <w:rFonts w:asciiTheme="majorHAnsi" w:eastAsiaTheme="minorHAnsi" w:hAnsiTheme="majorHAnsi" w:cstheme="majorHAnsi"/>
                <w:sz w:val="24"/>
                <w:szCs w:val="24"/>
              </w:rPr>
              <w:t>Presidenta</w:t>
            </w:r>
          </w:p>
          <w:p w14:paraId="629D628B" w14:textId="2583701F"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Donald Ross Long, </w:t>
            </w:r>
            <w:r w:rsidR="00DA592D" w:rsidRPr="00DA592D">
              <w:rPr>
                <w:rFonts w:asciiTheme="majorHAnsi" w:eastAsiaTheme="minorHAnsi" w:hAnsiTheme="majorHAnsi" w:cstheme="majorHAnsi"/>
                <w:sz w:val="24"/>
                <w:szCs w:val="24"/>
              </w:rPr>
              <w:t>Autodefensor</w:t>
            </w:r>
          </w:p>
          <w:p w14:paraId="4ADA5F30" w14:textId="62244005"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Lilia Valitova, </w:t>
            </w:r>
            <w:r w:rsidR="00DA592D" w:rsidRPr="00DA592D">
              <w:rPr>
                <w:rFonts w:asciiTheme="majorHAnsi" w:eastAsiaTheme="minorHAnsi" w:hAnsiTheme="majorHAnsi" w:cstheme="majorHAnsi"/>
                <w:sz w:val="24"/>
                <w:szCs w:val="24"/>
              </w:rPr>
              <w:t>Madre</w:t>
            </w:r>
          </w:p>
          <w:p w14:paraId="4AACFF0D" w14:textId="201CB96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Yulahlia Hernandez</w:t>
            </w:r>
          </w:p>
          <w:p w14:paraId="69C1631F" w14:textId="3FD4C8A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Teresa Scripps, </w:t>
            </w:r>
            <w:r w:rsidR="00DA592D" w:rsidRPr="00DA592D">
              <w:rPr>
                <w:rFonts w:asciiTheme="majorHAnsi" w:eastAsiaTheme="minorHAnsi" w:hAnsiTheme="majorHAnsi" w:cstheme="majorHAnsi"/>
                <w:sz w:val="24"/>
                <w:szCs w:val="24"/>
              </w:rPr>
              <w:t>Defensora de los Padres</w:t>
            </w:r>
          </w:p>
          <w:p w14:paraId="578FEFDF" w14:textId="08F246C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ileim moss, </w:t>
            </w:r>
            <w:r w:rsidR="00406E41" w:rsidRPr="00406E41">
              <w:rPr>
                <w:rFonts w:asciiTheme="majorHAnsi" w:eastAsiaTheme="minorHAnsi" w:hAnsiTheme="majorHAnsi" w:cstheme="majorHAnsi"/>
                <w:sz w:val="24"/>
                <w:szCs w:val="24"/>
              </w:rPr>
              <w:t>Autodefensor</w:t>
            </w:r>
          </w:p>
          <w:p w14:paraId="3B048E74" w14:textId="77777777" w:rsidR="00FB227A" w:rsidRPr="00B05A9F" w:rsidRDefault="00FB227A" w:rsidP="00FB227A">
            <w:pPr>
              <w:rPr>
                <w:rFonts w:asciiTheme="majorHAnsi" w:eastAsiaTheme="minorHAnsi" w:hAnsiTheme="majorHAnsi" w:cstheme="majorHAnsi"/>
                <w:sz w:val="24"/>
                <w:szCs w:val="24"/>
              </w:rPr>
            </w:pPr>
          </w:p>
          <w:p w14:paraId="38D9CB16" w14:textId="03CA45F4" w:rsidR="00FB227A" w:rsidRPr="00B05A9F" w:rsidRDefault="00406E41" w:rsidP="00FB227A">
            <w:pPr>
              <w:rPr>
                <w:rFonts w:asciiTheme="majorHAnsi" w:eastAsiaTheme="minorHAnsi" w:hAnsiTheme="majorHAnsi" w:cstheme="majorHAnsi"/>
                <w:sz w:val="24"/>
                <w:szCs w:val="24"/>
                <w:u w:val="single"/>
              </w:rPr>
            </w:pPr>
            <w:r w:rsidRPr="00406E41">
              <w:rPr>
                <w:rFonts w:asciiTheme="majorHAnsi" w:eastAsiaTheme="minorHAnsi" w:hAnsiTheme="majorHAnsi" w:cstheme="majorHAnsi"/>
                <w:sz w:val="24"/>
                <w:szCs w:val="24"/>
                <w:u w:val="single"/>
              </w:rPr>
              <w:t>Comunidad</w:t>
            </w:r>
            <w:r w:rsidR="00FB227A" w:rsidRPr="00B05A9F">
              <w:rPr>
                <w:rFonts w:asciiTheme="majorHAnsi" w:eastAsiaTheme="minorHAnsi" w:hAnsiTheme="majorHAnsi" w:cstheme="majorHAnsi"/>
                <w:sz w:val="24"/>
                <w:szCs w:val="24"/>
                <w:u w:val="single"/>
              </w:rPr>
              <w:t>:</w:t>
            </w:r>
          </w:p>
          <w:p w14:paraId="38D7AC02" w14:textId="5EE82AB4"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Ellisa Reiff, </w:t>
            </w:r>
            <w:r w:rsidR="00406E41" w:rsidRPr="00406E41">
              <w:rPr>
                <w:rFonts w:asciiTheme="majorHAnsi" w:eastAsiaTheme="minorHAnsi" w:hAnsiTheme="majorHAnsi" w:cstheme="majorHAnsi"/>
                <w:sz w:val="24"/>
                <w:szCs w:val="24"/>
              </w:rPr>
              <w:t>Supervisora del SDP</w:t>
            </w:r>
          </w:p>
          <w:p w14:paraId="74F648D9" w14:textId="15E8595A"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Beth DeWitt, </w:t>
            </w:r>
            <w:r w:rsidR="00406E41" w:rsidRPr="00406E41">
              <w:rPr>
                <w:rFonts w:asciiTheme="majorHAnsi" w:eastAsiaTheme="minorHAnsi" w:hAnsiTheme="majorHAnsi" w:cstheme="majorHAnsi"/>
                <w:sz w:val="24"/>
                <w:szCs w:val="24"/>
              </w:rPr>
              <w:t>Directora de Servicios al Cliente</w:t>
            </w:r>
          </w:p>
          <w:p w14:paraId="5AC7975B" w14:textId="1EFEC852"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Gabriel Rogin, </w:t>
            </w:r>
            <w:r w:rsidR="00406E41" w:rsidRPr="00406E41">
              <w:rPr>
                <w:rFonts w:asciiTheme="majorHAnsi" w:eastAsiaTheme="minorHAnsi" w:hAnsiTheme="majorHAnsi" w:cstheme="majorHAnsi"/>
                <w:sz w:val="24"/>
                <w:szCs w:val="24"/>
              </w:rPr>
              <w:t>Director Ejecutivo</w:t>
            </w:r>
          </w:p>
          <w:p w14:paraId="10B753AC" w14:textId="35650336" w:rsidR="00FB227A" w:rsidRPr="00B05A9F" w:rsidRDefault="00FB227A" w:rsidP="00FB227A">
            <w:pPr>
              <w:pStyle w:val="ListParagraph"/>
              <w:numPr>
                <w:ilvl w:val="0"/>
                <w:numId w:val="16"/>
              </w:num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rPr>
              <w:t>Chris Aguire DDS</w:t>
            </w:r>
          </w:p>
          <w:p w14:paraId="6411A2FB" w14:textId="00035171"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Shonetrice Smith, </w:t>
            </w:r>
            <w:r w:rsidR="00406E41" w:rsidRPr="00406E41">
              <w:rPr>
                <w:rFonts w:asciiTheme="majorHAnsi" w:eastAsiaTheme="minorHAnsi" w:hAnsiTheme="majorHAnsi" w:cstheme="majorHAnsi"/>
                <w:sz w:val="24"/>
                <w:szCs w:val="24"/>
              </w:rPr>
              <w:t>Coordinadora de Elección del Participante</w:t>
            </w:r>
          </w:p>
          <w:p w14:paraId="13A66B8D" w14:textId="310FFF03"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Stephany Chavez, </w:t>
            </w:r>
            <w:r w:rsidR="00406E41" w:rsidRPr="00406E41">
              <w:rPr>
                <w:rFonts w:asciiTheme="majorHAnsi" w:eastAsiaTheme="minorHAnsi" w:hAnsiTheme="majorHAnsi" w:cstheme="majorHAnsi"/>
                <w:sz w:val="24"/>
                <w:szCs w:val="24"/>
              </w:rPr>
              <w:t>Coordinadora de Elección del Participante</w:t>
            </w:r>
          </w:p>
          <w:p w14:paraId="7278B711" w14:textId="7328DBA4"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Paula Garcia, </w:t>
            </w:r>
            <w:r w:rsidR="00406E41" w:rsidRPr="00406E41">
              <w:rPr>
                <w:rFonts w:asciiTheme="majorHAnsi" w:eastAsiaTheme="minorHAnsi" w:hAnsiTheme="majorHAnsi" w:cstheme="majorHAnsi"/>
                <w:sz w:val="24"/>
                <w:szCs w:val="24"/>
              </w:rPr>
              <w:t>Coordinadora de Elección del Participante</w:t>
            </w:r>
          </w:p>
          <w:p w14:paraId="73E28F17" w14:textId="115B6974"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Jesus Rosales, </w:t>
            </w:r>
            <w:r w:rsidR="00406E41" w:rsidRPr="00406E41">
              <w:rPr>
                <w:rFonts w:asciiTheme="majorHAnsi" w:eastAsiaTheme="minorHAnsi" w:hAnsiTheme="majorHAnsi" w:cstheme="majorHAnsi"/>
                <w:sz w:val="24"/>
                <w:szCs w:val="24"/>
              </w:rPr>
              <w:t>Coordinador de Elección del Participante</w:t>
            </w:r>
          </w:p>
          <w:p w14:paraId="55984E54" w14:textId="726F6E3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Janelle Santana, </w:t>
            </w:r>
            <w:r w:rsidR="00406E41" w:rsidRPr="00406E41">
              <w:rPr>
                <w:rFonts w:asciiTheme="majorHAnsi" w:eastAsiaTheme="minorHAnsi" w:hAnsiTheme="majorHAnsi" w:cstheme="majorHAnsi"/>
                <w:sz w:val="24"/>
                <w:szCs w:val="24"/>
              </w:rPr>
              <w:t>Subdirectora Ejecutiva</w:t>
            </w:r>
          </w:p>
          <w:p w14:paraId="4F01D8C9" w14:textId="6C209C3A"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Julia LaRose, </w:t>
            </w:r>
            <w:r w:rsidR="00406E41" w:rsidRPr="00406E41">
              <w:rPr>
                <w:rFonts w:asciiTheme="majorHAnsi" w:eastAsiaTheme="minorHAnsi" w:hAnsiTheme="majorHAnsi" w:cstheme="majorHAnsi"/>
                <w:sz w:val="24"/>
                <w:szCs w:val="24"/>
              </w:rPr>
              <w:t>Facilitación de Phoenix</w:t>
            </w:r>
          </w:p>
          <w:p w14:paraId="30834542" w14:textId="46BD129B"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Naomi Hagel, </w:t>
            </w:r>
            <w:r w:rsidR="00406E41" w:rsidRPr="00406E41">
              <w:rPr>
                <w:rFonts w:asciiTheme="majorHAnsi" w:eastAsiaTheme="minorHAnsi" w:hAnsiTheme="majorHAnsi" w:cstheme="majorHAnsi"/>
                <w:sz w:val="24"/>
                <w:szCs w:val="24"/>
              </w:rPr>
              <w:t>Facilitación de Phoenix</w:t>
            </w:r>
          </w:p>
          <w:p w14:paraId="1C9218D4" w14:textId="26EA1211"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Heather </w:t>
            </w:r>
            <w:r w:rsidR="007E2BEC" w:rsidRPr="00B05A9F">
              <w:rPr>
                <w:rFonts w:asciiTheme="majorHAnsi" w:eastAsiaTheme="minorHAnsi" w:hAnsiTheme="majorHAnsi" w:cstheme="majorHAnsi"/>
                <w:sz w:val="24"/>
                <w:szCs w:val="24"/>
              </w:rPr>
              <w:t>Crocker Alift</w:t>
            </w:r>
          </w:p>
          <w:p w14:paraId="476150E6" w14:textId="7C73843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Carin Hewitt Alift</w:t>
            </w:r>
          </w:p>
          <w:p w14:paraId="385965E0" w14:textId="370A076F"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Yesenia Oseguera </w:t>
            </w:r>
            <w:r w:rsidR="00EC1E28" w:rsidRPr="00EC1E28">
              <w:rPr>
                <w:rFonts w:asciiTheme="majorHAnsi" w:eastAsiaTheme="minorHAnsi" w:hAnsiTheme="majorHAnsi" w:cstheme="majorHAnsi"/>
                <w:sz w:val="24"/>
                <w:szCs w:val="24"/>
              </w:rPr>
              <w:t>El Camino de Z hacia la Independencia</w:t>
            </w:r>
          </w:p>
          <w:p w14:paraId="12624B90" w14:textId="259E924D" w:rsidR="008E51A4" w:rsidRPr="00B05A9F" w:rsidRDefault="008E51A4"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Kenya Martinez, </w:t>
            </w:r>
            <w:r w:rsidR="00EC1E28" w:rsidRPr="00EC1E28">
              <w:rPr>
                <w:rFonts w:asciiTheme="majorHAnsi" w:eastAsiaTheme="minorHAnsi" w:hAnsiTheme="majorHAnsi" w:cstheme="majorHAnsi"/>
                <w:sz w:val="24"/>
                <w:szCs w:val="24"/>
              </w:rPr>
              <w:t>Directora de SCDD</w:t>
            </w:r>
          </w:p>
          <w:p w14:paraId="1244E9DD" w14:textId="5D2DA0A9"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Tobias Weare, SCDD</w:t>
            </w:r>
          </w:p>
          <w:p w14:paraId="5E775BB8" w14:textId="512E183C"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lastRenderedPageBreak/>
              <w:t>Sabrina Deulof</w:t>
            </w:r>
            <w:r w:rsidR="00E2037D" w:rsidRPr="00B05A9F">
              <w:rPr>
                <w:rFonts w:asciiTheme="majorHAnsi" w:eastAsiaTheme="minorHAnsi" w:hAnsiTheme="majorHAnsi" w:cstheme="majorHAnsi"/>
                <w:sz w:val="24"/>
                <w:szCs w:val="24"/>
              </w:rPr>
              <w:t>eu</w:t>
            </w:r>
            <w:r w:rsidRPr="00B05A9F">
              <w:rPr>
                <w:rFonts w:asciiTheme="majorHAnsi" w:eastAsiaTheme="minorHAnsi" w:hAnsiTheme="majorHAnsi" w:cstheme="majorHAnsi"/>
                <w:sz w:val="24"/>
                <w:szCs w:val="24"/>
              </w:rPr>
              <w:t xml:space="preserve">, </w:t>
            </w:r>
            <w:r w:rsidR="00EC1E28" w:rsidRPr="00EC1E28">
              <w:rPr>
                <w:rFonts w:asciiTheme="majorHAnsi" w:eastAsiaTheme="minorHAnsi" w:hAnsiTheme="majorHAnsi" w:cstheme="majorHAnsi"/>
                <w:sz w:val="24"/>
                <w:szCs w:val="24"/>
              </w:rPr>
              <w:t>Sociedad de Autismo de LA</w:t>
            </w:r>
          </w:p>
          <w:p w14:paraId="574C03F9" w14:textId="1B4F5752"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IFTA – </w:t>
            </w:r>
            <w:r w:rsidR="00EC1E28" w:rsidRPr="00EC1E28">
              <w:rPr>
                <w:rFonts w:asciiTheme="majorHAnsi" w:eastAsiaTheme="minorHAnsi" w:hAnsiTheme="majorHAnsi" w:cstheme="majorHAnsi"/>
                <w:sz w:val="24"/>
                <w:szCs w:val="24"/>
              </w:rPr>
              <w:t>Academia de Formación de Facilitadores Independientes</w:t>
            </w:r>
          </w:p>
          <w:p w14:paraId="4DB6F0ED" w14:textId="3AB5B1AC"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Debra Jorgensen</w:t>
            </w:r>
            <w:r w:rsidR="00B65C02">
              <w:rPr>
                <w:rFonts w:asciiTheme="majorHAnsi" w:eastAsiaTheme="minorHAnsi" w:hAnsiTheme="majorHAnsi" w:cstheme="majorHAnsi"/>
                <w:sz w:val="24"/>
                <w:szCs w:val="24"/>
              </w:rPr>
              <w:t xml:space="preserve">, </w:t>
            </w:r>
            <w:r w:rsidR="00EC1E28" w:rsidRPr="00EC1E28">
              <w:rPr>
                <w:rFonts w:asciiTheme="majorHAnsi" w:eastAsiaTheme="minorHAnsi" w:hAnsiTheme="majorHAnsi" w:cstheme="majorHAnsi"/>
                <w:sz w:val="24"/>
                <w:szCs w:val="24"/>
              </w:rPr>
              <w:t>Grupo Guía de Luz (Guidelight)</w:t>
            </w:r>
          </w:p>
          <w:p w14:paraId="5550E3AC" w14:textId="55810E63"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Renee Howard, </w:t>
            </w:r>
            <w:r w:rsidR="00EC1E28" w:rsidRPr="00EC1E28">
              <w:rPr>
                <w:rFonts w:asciiTheme="majorHAnsi" w:eastAsiaTheme="minorHAnsi" w:hAnsiTheme="majorHAnsi" w:cstheme="majorHAnsi"/>
                <w:sz w:val="24"/>
                <w:szCs w:val="24"/>
              </w:rPr>
              <w:t>Madre</w:t>
            </w:r>
          </w:p>
          <w:p w14:paraId="24E749B5" w14:textId="34BAACFE"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Jaylen Parks, </w:t>
            </w:r>
            <w:r w:rsidR="00EC1E28" w:rsidRPr="00EC1E28">
              <w:rPr>
                <w:rFonts w:asciiTheme="majorHAnsi" w:eastAsiaTheme="minorHAnsi" w:hAnsiTheme="majorHAnsi" w:cstheme="majorHAnsi"/>
                <w:sz w:val="24"/>
                <w:szCs w:val="24"/>
              </w:rPr>
              <w:t>Autodefensor</w:t>
            </w:r>
          </w:p>
          <w:p w14:paraId="402599F6" w14:textId="25FEF62A"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Nicole </w:t>
            </w:r>
            <w:r w:rsidR="00EC1E28" w:rsidRPr="00EC1E28">
              <w:rPr>
                <w:rFonts w:asciiTheme="majorHAnsi" w:eastAsiaTheme="minorHAnsi" w:hAnsiTheme="majorHAnsi" w:cstheme="majorHAnsi"/>
                <w:sz w:val="24"/>
                <w:szCs w:val="24"/>
              </w:rPr>
              <w:t>Intérprete ASL</w:t>
            </w:r>
          </w:p>
          <w:p w14:paraId="179A3796" w14:textId="64CFF1EB"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Ginia </w:t>
            </w:r>
            <w:r w:rsidR="00EC1E28" w:rsidRPr="00EC1E28">
              <w:rPr>
                <w:rFonts w:asciiTheme="majorHAnsi" w:eastAsiaTheme="minorHAnsi" w:hAnsiTheme="majorHAnsi" w:cstheme="majorHAnsi"/>
                <w:sz w:val="24"/>
                <w:szCs w:val="24"/>
              </w:rPr>
              <w:t>Intérprete ASL</w:t>
            </w:r>
          </w:p>
          <w:p w14:paraId="49E8D8DA" w14:textId="2E0C2B80"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Amber </w:t>
            </w:r>
            <w:r w:rsidR="00EC1E28" w:rsidRPr="00EC1E28">
              <w:rPr>
                <w:rFonts w:asciiTheme="majorHAnsi" w:eastAsiaTheme="minorHAnsi" w:hAnsiTheme="majorHAnsi" w:cstheme="majorHAnsi"/>
                <w:sz w:val="24"/>
                <w:szCs w:val="24"/>
              </w:rPr>
              <w:t>Intérprete ASL</w:t>
            </w:r>
          </w:p>
          <w:p w14:paraId="04D4008F" w14:textId="77777777" w:rsidR="00FB227A" w:rsidRPr="00B05A9F" w:rsidRDefault="00FB227A" w:rsidP="00FB227A">
            <w:pPr>
              <w:rPr>
                <w:rFonts w:asciiTheme="majorHAnsi" w:eastAsiaTheme="minorHAnsi" w:hAnsiTheme="majorHAnsi" w:cstheme="majorHAnsi"/>
                <w:sz w:val="24"/>
                <w:szCs w:val="24"/>
              </w:rPr>
            </w:pPr>
          </w:p>
          <w:p w14:paraId="54262DDD" w14:textId="03EAEEEC" w:rsidR="00FB227A" w:rsidRPr="00B05A9F" w:rsidRDefault="00EC1E28" w:rsidP="00FB227A">
            <w:pPr>
              <w:rPr>
                <w:rFonts w:asciiTheme="majorHAnsi" w:eastAsiaTheme="minorHAnsi" w:hAnsiTheme="majorHAnsi" w:cstheme="majorHAnsi"/>
                <w:sz w:val="24"/>
                <w:szCs w:val="24"/>
              </w:rPr>
            </w:pPr>
            <w:r w:rsidRPr="00EC1E28">
              <w:rPr>
                <w:rFonts w:asciiTheme="majorHAnsi" w:eastAsiaTheme="minorHAnsi" w:hAnsiTheme="majorHAnsi" w:cstheme="majorHAnsi"/>
                <w:sz w:val="24"/>
                <w:szCs w:val="24"/>
              </w:rPr>
              <w:t>Moción para aprobar las actas</w:t>
            </w:r>
            <w:r w:rsidR="00FB227A" w:rsidRPr="00B05A9F">
              <w:rPr>
                <w:rFonts w:asciiTheme="majorHAnsi" w:eastAsiaTheme="minorHAnsi" w:hAnsiTheme="majorHAnsi" w:cstheme="majorHAnsi"/>
                <w:sz w:val="24"/>
                <w:szCs w:val="24"/>
              </w:rPr>
              <w:t>:</w:t>
            </w:r>
          </w:p>
          <w:p w14:paraId="5D33A860" w14:textId="50497C4F" w:rsidR="00782299" w:rsidRPr="00B05A9F" w:rsidRDefault="00EC1E28" w:rsidP="00FB227A">
            <w:pPr>
              <w:rPr>
                <w:rFonts w:asciiTheme="majorHAnsi" w:eastAsiaTheme="minorHAnsi" w:hAnsiTheme="majorHAnsi" w:cstheme="majorHAnsi"/>
                <w:sz w:val="24"/>
                <w:szCs w:val="24"/>
              </w:rPr>
            </w:pPr>
            <w:r w:rsidRPr="00EC1E28">
              <w:rPr>
                <w:rFonts w:asciiTheme="majorHAnsi" w:eastAsiaTheme="minorHAnsi" w:hAnsiTheme="majorHAnsi" w:cstheme="majorHAnsi"/>
                <w:sz w:val="24"/>
                <w:szCs w:val="24"/>
              </w:rPr>
              <w:t xml:space="preserve">Todos a favor </w:t>
            </w:r>
            <w:r w:rsidR="00FB227A" w:rsidRPr="00B05A9F">
              <w:rPr>
                <w:rFonts w:asciiTheme="majorHAnsi" w:eastAsiaTheme="minorHAnsi" w:hAnsiTheme="majorHAnsi" w:cstheme="majorHAnsi"/>
                <w:sz w:val="24"/>
                <w:szCs w:val="24"/>
              </w:rPr>
              <w:t xml:space="preserve">– Donald Ross Long </w:t>
            </w:r>
            <w:r>
              <w:rPr>
                <w:rFonts w:asciiTheme="majorHAnsi" w:eastAsiaTheme="minorHAnsi" w:hAnsiTheme="majorHAnsi" w:cstheme="majorHAnsi"/>
                <w:sz w:val="24"/>
                <w:szCs w:val="24"/>
              </w:rPr>
              <w:t>y</w:t>
            </w:r>
            <w:r w:rsidR="00FB227A" w:rsidRPr="00B05A9F">
              <w:rPr>
                <w:rFonts w:asciiTheme="majorHAnsi" w:eastAsiaTheme="minorHAnsi" w:hAnsiTheme="majorHAnsi" w:cstheme="majorHAnsi"/>
                <w:sz w:val="24"/>
                <w:szCs w:val="24"/>
              </w:rPr>
              <w:t xml:space="preserve"> Yulahlia Hernandez</w:t>
            </w:r>
          </w:p>
          <w:p w14:paraId="387AC7E8" w14:textId="77777777" w:rsidR="00E2037D" w:rsidRPr="00B05A9F" w:rsidRDefault="00E2037D" w:rsidP="00FB227A">
            <w:pPr>
              <w:rPr>
                <w:rFonts w:asciiTheme="majorHAnsi" w:eastAsiaTheme="minorHAnsi" w:hAnsiTheme="majorHAnsi" w:cstheme="majorHAnsi"/>
                <w:sz w:val="24"/>
                <w:szCs w:val="24"/>
                <w:u w:val="single"/>
              </w:rPr>
            </w:pPr>
          </w:p>
          <w:p w14:paraId="69F82363" w14:textId="428F283E" w:rsidR="00FB227A" w:rsidRPr="00B05A9F" w:rsidRDefault="00FB227A" w:rsidP="00BD11DD">
            <w:p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u w:val="single"/>
              </w:rPr>
              <w:t xml:space="preserve">B. </w:t>
            </w:r>
            <w:r w:rsidR="00EC1E28" w:rsidRPr="00EC1E28">
              <w:rPr>
                <w:rFonts w:asciiTheme="majorHAnsi" w:eastAsiaTheme="minorHAnsi" w:hAnsiTheme="majorHAnsi" w:cstheme="majorHAnsi"/>
                <w:sz w:val="24"/>
                <w:szCs w:val="24"/>
              </w:rPr>
              <w:t xml:space="preserve">Quórum reunido a las </w:t>
            </w:r>
            <w:r w:rsidRPr="00B05A9F">
              <w:rPr>
                <w:rFonts w:asciiTheme="majorHAnsi" w:eastAsiaTheme="minorHAnsi" w:hAnsiTheme="majorHAnsi" w:cstheme="majorHAnsi"/>
                <w:sz w:val="24"/>
                <w:szCs w:val="24"/>
              </w:rPr>
              <w:t>12:15PM</w:t>
            </w:r>
          </w:p>
        </w:tc>
      </w:tr>
      <w:tr w:rsidR="00D66597" w:rsidRPr="00B05A9F" w14:paraId="410E5573" w14:textId="77777777" w:rsidTr="00AC6736">
        <w:tc>
          <w:tcPr>
            <w:tcW w:w="3600" w:type="dxa"/>
          </w:tcPr>
          <w:p w14:paraId="17E0C4D5" w14:textId="5F67F480" w:rsidR="00385267" w:rsidRPr="00C25972" w:rsidRDefault="00EC1E28" w:rsidP="00AC6736">
            <w:pPr>
              <w:rPr>
                <w:rFonts w:asciiTheme="majorHAnsi" w:eastAsia="Assistant" w:hAnsiTheme="majorHAnsi" w:cstheme="majorHAnsi"/>
                <w:b/>
                <w:sz w:val="28"/>
                <w:szCs w:val="28"/>
              </w:rPr>
            </w:pPr>
            <w:r w:rsidRPr="00EC1E28">
              <w:rPr>
                <w:rFonts w:asciiTheme="majorHAnsi" w:eastAsia="Assistant" w:hAnsiTheme="majorHAnsi" w:cstheme="majorHAnsi"/>
                <w:b/>
                <w:sz w:val="28"/>
                <w:szCs w:val="28"/>
              </w:rPr>
              <w:lastRenderedPageBreak/>
              <w:t>Comentarios del Público</w:t>
            </w:r>
          </w:p>
        </w:tc>
        <w:tc>
          <w:tcPr>
            <w:tcW w:w="7020" w:type="dxa"/>
          </w:tcPr>
          <w:p w14:paraId="0677E810" w14:textId="217D4E20" w:rsidR="00E53038" w:rsidRPr="00B05A9F" w:rsidRDefault="00FB227A" w:rsidP="00FB227A">
            <w:pPr>
              <w:spacing w:line="300" w:lineRule="atLeast"/>
              <w:rPr>
                <w:rFonts w:asciiTheme="majorHAnsi" w:eastAsia="Times New Roman" w:hAnsiTheme="majorHAnsi" w:cstheme="majorHAnsi"/>
                <w:color w:val="39394D"/>
                <w:sz w:val="24"/>
                <w:szCs w:val="24"/>
              </w:rPr>
            </w:pPr>
            <w:r w:rsidRPr="00B05A9F">
              <w:rPr>
                <w:rFonts w:asciiTheme="majorHAnsi" w:eastAsia="Times New Roman" w:hAnsiTheme="majorHAnsi" w:cstheme="majorHAnsi"/>
                <w:color w:val="39394D"/>
                <w:sz w:val="24"/>
                <w:szCs w:val="24"/>
              </w:rPr>
              <w:t>N/A</w:t>
            </w:r>
          </w:p>
        </w:tc>
      </w:tr>
      <w:tr w:rsidR="00430765" w:rsidRPr="00B05A9F" w14:paraId="765B7201" w14:textId="77777777" w:rsidTr="00AC6736">
        <w:tc>
          <w:tcPr>
            <w:tcW w:w="3600" w:type="dxa"/>
          </w:tcPr>
          <w:p w14:paraId="5DF0F9FD" w14:textId="08B70813" w:rsidR="00430765" w:rsidRPr="005A3D12" w:rsidRDefault="00EC1E28" w:rsidP="00430765">
            <w:pPr>
              <w:rPr>
                <w:rFonts w:asciiTheme="majorHAnsi" w:eastAsia="Assistant" w:hAnsiTheme="majorHAnsi" w:cstheme="majorHAnsi"/>
                <w:bCs/>
                <w:sz w:val="28"/>
                <w:szCs w:val="28"/>
              </w:rPr>
            </w:pPr>
            <w:r w:rsidRPr="00EC1E28">
              <w:rPr>
                <w:rFonts w:asciiTheme="majorHAnsi" w:eastAsia="Assistant" w:hAnsiTheme="majorHAnsi" w:cstheme="majorHAnsi"/>
                <w:b/>
                <w:sz w:val="28"/>
                <w:szCs w:val="28"/>
              </w:rPr>
              <w:t>Presidenta</w:t>
            </w:r>
            <w:r w:rsidR="00430765">
              <w:rPr>
                <w:rFonts w:asciiTheme="majorHAnsi" w:eastAsia="Assistant" w:hAnsiTheme="majorHAnsi" w:cstheme="majorHAnsi"/>
                <w:bCs/>
                <w:sz w:val="28"/>
                <w:szCs w:val="28"/>
              </w:rPr>
              <w:t xml:space="preserve"> Debby Hight</w:t>
            </w:r>
          </w:p>
        </w:tc>
        <w:tc>
          <w:tcPr>
            <w:tcW w:w="7020" w:type="dxa"/>
          </w:tcPr>
          <w:p w14:paraId="00B33741" w14:textId="7E8E3201" w:rsidR="00430765" w:rsidRPr="00B05A9F" w:rsidRDefault="00EC1E28" w:rsidP="00430765">
            <w:pPr>
              <w:pStyle w:val="NoSpacing"/>
              <w:rPr>
                <w:rFonts w:asciiTheme="majorHAnsi" w:hAnsiTheme="majorHAnsi" w:cstheme="majorHAnsi"/>
                <w:sz w:val="24"/>
                <w:szCs w:val="24"/>
              </w:rPr>
            </w:pPr>
            <w:r w:rsidRPr="00EC1E28">
              <w:rPr>
                <w:rFonts w:asciiTheme="majorHAnsi" w:hAnsiTheme="majorHAnsi" w:cstheme="majorHAnsi"/>
                <w:sz w:val="24"/>
                <w:szCs w:val="24"/>
              </w:rPr>
              <w:t>Asegurarse de que todos hayan recibido las Actas de la reunión anterior</w:t>
            </w:r>
            <w:r w:rsidR="00430765" w:rsidRPr="00B05A9F">
              <w:rPr>
                <w:rFonts w:asciiTheme="majorHAnsi" w:hAnsiTheme="majorHAnsi" w:cstheme="majorHAnsi"/>
                <w:sz w:val="24"/>
                <w:szCs w:val="24"/>
              </w:rPr>
              <w:t xml:space="preserve">. </w:t>
            </w:r>
          </w:p>
        </w:tc>
      </w:tr>
      <w:tr w:rsidR="00430765" w:rsidRPr="00B05A9F" w14:paraId="38B189C6" w14:textId="77777777" w:rsidTr="00AC6736">
        <w:tc>
          <w:tcPr>
            <w:tcW w:w="3600" w:type="dxa"/>
          </w:tcPr>
          <w:p w14:paraId="2D3195D0" w14:textId="3A958E3A" w:rsidR="00430765" w:rsidRPr="00F821C2" w:rsidRDefault="00EC1E28" w:rsidP="00430765">
            <w:pPr>
              <w:rPr>
                <w:rFonts w:asciiTheme="majorHAnsi" w:eastAsia="Assistant" w:hAnsiTheme="majorHAnsi" w:cstheme="majorHAnsi"/>
                <w:b/>
                <w:sz w:val="28"/>
                <w:szCs w:val="28"/>
              </w:rPr>
            </w:pPr>
            <w:r w:rsidRPr="00EC1E28">
              <w:rPr>
                <w:rFonts w:asciiTheme="majorHAnsi" w:eastAsia="Assistant" w:hAnsiTheme="majorHAnsi" w:cstheme="majorHAnsi"/>
                <w:b/>
                <w:sz w:val="28"/>
                <w:szCs w:val="28"/>
              </w:rPr>
              <w:t>Actualización del NBRC</w:t>
            </w:r>
            <w:r w:rsidR="00430765" w:rsidRPr="00F821C2">
              <w:rPr>
                <w:rFonts w:asciiTheme="majorHAnsi" w:eastAsia="Assistant" w:hAnsiTheme="majorHAnsi" w:cstheme="majorHAnsi"/>
                <w:b/>
                <w:sz w:val="28"/>
                <w:szCs w:val="28"/>
              </w:rPr>
              <w:t>:</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430765" w:rsidRPr="00B05A9F" w14:paraId="27AA47AC" w14:textId="77777777" w:rsidTr="00D042C8">
              <w:trPr>
                <w:tblCellSpacing w:w="0" w:type="dxa"/>
              </w:trPr>
              <w:tc>
                <w:tcPr>
                  <w:tcW w:w="0" w:type="auto"/>
                  <w:gridSpan w:val="2"/>
                  <w:hideMark/>
                </w:tcPr>
                <w:p w14:paraId="5F140E7A" w14:textId="145B56FC" w:rsidR="00430765" w:rsidRPr="00B05A9F" w:rsidRDefault="00C1447D" w:rsidP="00430765">
                  <w:pPr>
                    <w:spacing w:line="300" w:lineRule="atLeast"/>
                    <w:rPr>
                      <w:rFonts w:asciiTheme="majorHAnsi" w:hAnsiTheme="majorHAnsi" w:cstheme="majorHAnsi"/>
                      <w:color w:val="39394D"/>
                      <w:sz w:val="24"/>
                      <w:szCs w:val="24"/>
                    </w:rPr>
                  </w:pPr>
                  <w:r w:rsidRPr="00C1447D">
                    <w:rPr>
                      <w:rFonts w:asciiTheme="majorHAnsi" w:hAnsiTheme="majorHAnsi" w:cstheme="majorHAnsi"/>
                      <w:color w:val="39394D"/>
                      <w:sz w:val="24"/>
                      <w:szCs w:val="24"/>
                    </w:rPr>
                    <w:t>Jesus Rosales, Coordinador de Eleccion del Participante, presento las actualizaciones del NBRC y los numeros del reporte de inscripcion. Actualmente hay un aumento de 69 clientes de SDP a partir del1 de septiembre. 4 de los clientes están inscritos para una fecha de inicio 10/1, 1 cliente se transfirió de un Centro Regional, y 2 clientes son casos compartidos. El equipo revisó los datos demográficos de los clientes y solicitó datos más detallados en el futuro</w:t>
                  </w:r>
                  <w:r w:rsidR="00430765" w:rsidRPr="00B05A9F">
                    <w:rPr>
                      <w:rFonts w:asciiTheme="majorHAnsi" w:hAnsiTheme="majorHAnsi" w:cstheme="majorHAnsi"/>
                      <w:color w:val="39394D"/>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430765" w:rsidRPr="00B05A9F" w14:paraId="2E203923" w14:textId="77777777" w:rsidTr="00D042C8">
                    <w:trPr>
                      <w:trHeight w:val="90"/>
                      <w:tblCellSpacing w:w="0" w:type="dxa"/>
                    </w:trPr>
                    <w:tc>
                      <w:tcPr>
                        <w:tcW w:w="0" w:type="auto"/>
                        <w:vAlign w:val="center"/>
                        <w:hideMark/>
                      </w:tcPr>
                      <w:p w14:paraId="1F7C493F" w14:textId="77777777" w:rsidR="00430765" w:rsidRPr="00B05A9F" w:rsidRDefault="00430765" w:rsidP="00430765">
                        <w:pPr>
                          <w:rPr>
                            <w:rFonts w:asciiTheme="majorHAnsi" w:hAnsiTheme="majorHAnsi" w:cstheme="majorHAnsi"/>
                            <w:sz w:val="24"/>
                            <w:szCs w:val="24"/>
                          </w:rPr>
                        </w:pPr>
                      </w:p>
                    </w:tc>
                    <w:tc>
                      <w:tcPr>
                        <w:tcW w:w="0" w:type="auto"/>
                        <w:vAlign w:val="center"/>
                        <w:hideMark/>
                      </w:tcPr>
                      <w:p w14:paraId="7E12B114" w14:textId="77777777" w:rsidR="00430765" w:rsidRPr="00B05A9F" w:rsidRDefault="00430765" w:rsidP="00430765">
                        <w:pPr>
                          <w:rPr>
                            <w:rFonts w:asciiTheme="majorHAnsi" w:eastAsia="Times New Roman" w:hAnsiTheme="majorHAnsi" w:cstheme="majorHAnsi"/>
                            <w:sz w:val="24"/>
                            <w:szCs w:val="24"/>
                          </w:rPr>
                        </w:pPr>
                      </w:p>
                    </w:tc>
                  </w:tr>
                  <w:tr w:rsidR="00430765" w:rsidRPr="00B05A9F" w14:paraId="2839572D" w14:textId="77777777" w:rsidTr="00D042C8">
                    <w:trPr>
                      <w:tblCellSpacing w:w="0" w:type="dxa"/>
                    </w:trPr>
                    <w:tc>
                      <w:tcPr>
                        <w:tcW w:w="0" w:type="auto"/>
                        <w:gridSpan w:val="2"/>
                        <w:hideMark/>
                      </w:tcPr>
                      <w:p w14:paraId="1FDB8695" w14:textId="655178AC" w:rsidR="00430765" w:rsidRPr="00B05A9F" w:rsidRDefault="00C1447D" w:rsidP="00430765">
                        <w:pPr>
                          <w:spacing w:line="300" w:lineRule="atLeast"/>
                          <w:rPr>
                            <w:rFonts w:asciiTheme="majorHAnsi" w:hAnsiTheme="majorHAnsi" w:cstheme="majorHAnsi"/>
                            <w:color w:val="39394D"/>
                            <w:sz w:val="24"/>
                            <w:szCs w:val="24"/>
                          </w:rPr>
                        </w:pPr>
                        <w:r w:rsidRPr="00C1447D">
                          <w:rPr>
                            <w:rFonts w:asciiTheme="majorHAnsi" w:hAnsiTheme="majorHAnsi" w:cstheme="majorHAnsi"/>
                            <w:color w:val="39394D"/>
                            <w:sz w:val="24"/>
                            <w:szCs w:val="24"/>
                          </w:rPr>
                          <w:t>El equipo habló de las actualizaciones del NBRC, las cifras del informe de inscripción y la demografía de los clientes, centrándose en mejorar la concienciación y la accesibilidad para los clientes. Por último, hablaron del establecimiento del equipo y los procesos adecuados para aumentar la inscripción, y abordaron las preocupaciones relacionadas con la equidad, la accesibilidad y la facilidad de uso de sus programas</w:t>
                        </w:r>
                        <w:r w:rsidR="00430765" w:rsidRPr="00B05A9F">
                          <w:rPr>
                            <w:rFonts w:asciiTheme="majorHAnsi" w:hAnsiTheme="majorHAnsi" w:cstheme="majorHAnsi"/>
                            <w:color w:val="39394D"/>
                            <w:sz w:val="24"/>
                            <w:szCs w:val="24"/>
                          </w:rPr>
                          <w:t xml:space="preserve">. </w:t>
                        </w:r>
                      </w:p>
                      <w:p w14:paraId="39208DC2" w14:textId="77777777" w:rsidR="00732D0E" w:rsidRPr="00B05A9F" w:rsidRDefault="00732D0E" w:rsidP="00430765">
                        <w:pPr>
                          <w:spacing w:line="300" w:lineRule="atLeast"/>
                          <w:rPr>
                            <w:rFonts w:asciiTheme="majorHAnsi" w:eastAsiaTheme="minorHAnsi" w:hAnsiTheme="majorHAnsi" w:cstheme="majorHAnsi"/>
                            <w:color w:val="39394D"/>
                            <w:sz w:val="24"/>
                            <w:szCs w:val="24"/>
                          </w:rPr>
                        </w:pPr>
                      </w:p>
                      <w:p w14:paraId="0B6B478F" w14:textId="4A9050A2" w:rsidR="00483115" w:rsidRDefault="00C1447D" w:rsidP="00430765">
                        <w:pPr>
                          <w:spacing w:line="300" w:lineRule="atLeast"/>
                          <w:rPr>
                            <w:rFonts w:asciiTheme="majorHAnsi" w:eastAsiaTheme="minorHAnsi" w:hAnsiTheme="majorHAnsi" w:cstheme="majorHAnsi"/>
                            <w:color w:val="39394D"/>
                            <w:sz w:val="24"/>
                            <w:szCs w:val="24"/>
                          </w:rPr>
                        </w:pPr>
                        <w:r w:rsidRPr="00C1447D">
                          <w:rPr>
                            <w:rFonts w:asciiTheme="majorHAnsi" w:eastAsiaTheme="minorHAnsi" w:hAnsiTheme="majorHAnsi" w:cstheme="majorHAnsi"/>
                            <w:color w:val="39394D"/>
                            <w:sz w:val="24"/>
                            <w:szCs w:val="24"/>
                          </w:rPr>
                          <w:t>Rosie, de la Academia de Formación de Facilitadores Independientes, compartió que fue elegida para el proceso de RFP. Rosie explicó que las aplicaciones, junto con folletos, están disponibles para las personas interesadas en inscribirse en sus cursos / formación. Los cursos están disponibles en varios idiomas y subtítulos; Rosie informó que si se necesitan otras adaptaciones, se lo hagan saber. La interpretación ASL estará disponible en el futuro</w:t>
                        </w:r>
                        <w:r w:rsidR="00483115">
                          <w:rPr>
                            <w:rFonts w:asciiTheme="majorHAnsi" w:eastAsiaTheme="minorHAnsi" w:hAnsiTheme="majorHAnsi" w:cstheme="majorHAnsi"/>
                            <w:color w:val="39394D"/>
                            <w:sz w:val="24"/>
                            <w:szCs w:val="24"/>
                          </w:rPr>
                          <w:t xml:space="preserve">. </w:t>
                        </w:r>
                      </w:p>
                      <w:p w14:paraId="29C68B78" w14:textId="77777777" w:rsidR="007E2BEC" w:rsidRDefault="007E2BEC" w:rsidP="00430765">
                        <w:pPr>
                          <w:spacing w:line="300" w:lineRule="atLeast"/>
                          <w:rPr>
                            <w:rFonts w:asciiTheme="majorHAnsi" w:eastAsiaTheme="minorHAnsi" w:hAnsiTheme="majorHAnsi" w:cstheme="majorHAnsi"/>
                            <w:color w:val="39394D"/>
                            <w:sz w:val="24"/>
                            <w:szCs w:val="24"/>
                          </w:rPr>
                        </w:pPr>
                      </w:p>
                      <w:p w14:paraId="10BEA4FF" w14:textId="76136DBF" w:rsidR="00483115" w:rsidRDefault="00C1447D" w:rsidP="00430765">
                        <w:pPr>
                          <w:spacing w:line="300" w:lineRule="atLeast"/>
                          <w:rPr>
                            <w:rFonts w:asciiTheme="majorHAnsi" w:eastAsiaTheme="minorHAnsi" w:hAnsiTheme="majorHAnsi" w:cstheme="majorHAnsi"/>
                            <w:color w:val="39394D"/>
                            <w:sz w:val="24"/>
                            <w:szCs w:val="24"/>
                          </w:rPr>
                        </w:pPr>
                        <w:r w:rsidRPr="00C1447D">
                          <w:rPr>
                            <w:rFonts w:asciiTheme="majorHAnsi" w:eastAsiaTheme="minorHAnsi" w:hAnsiTheme="majorHAnsi" w:cstheme="majorHAnsi"/>
                            <w:color w:val="39394D"/>
                            <w:sz w:val="24"/>
                            <w:szCs w:val="24"/>
                          </w:rPr>
                          <w:t xml:space="preserve">Lilia Valitova, Defensora de los Padres, preguntó si el IFTA está en conformidad con el DDS y pidió claridad con respecto a la certificación a través del DDS. El IFTA sigue las normas del DDS. Ellisa indicó que no hay instrucciones específicas del DDS sobre la </w:t>
                        </w:r>
                        <w:r w:rsidRPr="00C1447D">
                          <w:rPr>
                            <w:rFonts w:asciiTheme="majorHAnsi" w:eastAsiaTheme="minorHAnsi" w:hAnsiTheme="majorHAnsi" w:cstheme="majorHAnsi"/>
                            <w:color w:val="39394D"/>
                            <w:sz w:val="24"/>
                            <w:szCs w:val="24"/>
                          </w:rPr>
                          <w:lastRenderedPageBreak/>
                          <w:t>capacitación, pero notificará al equipo cuando se publiquen dichas instrucciones</w:t>
                        </w:r>
                        <w:r w:rsidR="00B65C02">
                          <w:rPr>
                            <w:rFonts w:asciiTheme="majorHAnsi" w:eastAsiaTheme="minorHAnsi" w:hAnsiTheme="majorHAnsi" w:cstheme="majorHAnsi"/>
                            <w:color w:val="39394D"/>
                            <w:sz w:val="24"/>
                            <w:szCs w:val="24"/>
                          </w:rPr>
                          <w:t xml:space="preserve">. </w:t>
                        </w:r>
                      </w:p>
                      <w:p w14:paraId="3D0528FD" w14:textId="77777777" w:rsidR="00B65C02" w:rsidRDefault="00B65C02" w:rsidP="00430765">
                        <w:pPr>
                          <w:spacing w:line="300" w:lineRule="atLeast"/>
                          <w:rPr>
                            <w:rFonts w:asciiTheme="majorHAnsi" w:eastAsiaTheme="minorHAnsi" w:hAnsiTheme="majorHAnsi" w:cstheme="majorHAnsi"/>
                            <w:color w:val="39394D"/>
                            <w:sz w:val="24"/>
                            <w:szCs w:val="24"/>
                          </w:rPr>
                        </w:pPr>
                      </w:p>
                      <w:p w14:paraId="36531FD4" w14:textId="77777777" w:rsidR="00DB4965" w:rsidRPr="00DB4965" w:rsidRDefault="00DB4965" w:rsidP="00DB4965">
                        <w:pPr>
                          <w:spacing w:line="300" w:lineRule="atLeast"/>
                          <w:rPr>
                            <w:rFonts w:asciiTheme="majorHAnsi" w:eastAsiaTheme="minorHAnsi" w:hAnsiTheme="majorHAnsi" w:cstheme="majorHAnsi"/>
                            <w:color w:val="39394D"/>
                            <w:sz w:val="24"/>
                            <w:szCs w:val="24"/>
                          </w:rPr>
                        </w:pPr>
                        <w:r w:rsidRPr="00DB4965">
                          <w:rPr>
                            <w:rFonts w:asciiTheme="majorHAnsi" w:eastAsiaTheme="minorHAnsi" w:hAnsiTheme="majorHAnsi" w:cstheme="majorHAnsi"/>
                            <w:color w:val="39394D"/>
                            <w:sz w:val="24"/>
                            <w:szCs w:val="24"/>
                          </w:rPr>
                          <w:t>Ileim Moss, Autodefensora, planteó la cuestión de si el acceso visual a los gráficos y los textos son accesibles a través de lectores de pantalla para aquellos interesados en presentar una solicitud y que necesitan acceder a otras adaptaciones. Rosie explicó que disponen de subtítulos, pero que consultará con su equipo para ver si el lector de pantalla es accesible.</w:t>
                        </w:r>
                      </w:p>
                      <w:p w14:paraId="2DF8D50B" w14:textId="77777777" w:rsidR="00DB4965" w:rsidRPr="00DB4965" w:rsidRDefault="00DB4965" w:rsidP="00DB4965">
                        <w:pPr>
                          <w:spacing w:line="300" w:lineRule="atLeast"/>
                          <w:rPr>
                            <w:rFonts w:asciiTheme="majorHAnsi" w:eastAsiaTheme="minorHAnsi" w:hAnsiTheme="majorHAnsi" w:cstheme="majorHAnsi"/>
                            <w:color w:val="39394D"/>
                            <w:sz w:val="24"/>
                            <w:szCs w:val="24"/>
                          </w:rPr>
                        </w:pPr>
                      </w:p>
                      <w:p w14:paraId="5BB41CE5" w14:textId="3E11D658" w:rsidR="00B65C02" w:rsidRDefault="00DB4965" w:rsidP="00DB4965">
                        <w:pPr>
                          <w:spacing w:line="300" w:lineRule="atLeast"/>
                          <w:rPr>
                            <w:rFonts w:asciiTheme="majorHAnsi" w:eastAsiaTheme="minorHAnsi" w:hAnsiTheme="majorHAnsi" w:cstheme="majorHAnsi"/>
                            <w:color w:val="39394D"/>
                            <w:sz w:val="24"/>
                            <w:szCs w:val="24"/>
                          </w:rPr>
                        </w:pPr>
                        <w:r w:rsidRPr="00DB4965">
                          <w:rPr>
                            <w:rFonts w:asciiTheme="majorHAnsi" w:eastAsiaTheme="minorHAnsi" w:hAnsiTheme="majorHAnsi" w:cstheme="majorHAnsi"/>
                            <w:color w:val="39394D"/>
                            <w:sz w:val="24"/>
                            <w:szCs w:val="24"/>
                          </w:rPr>
                          <w:t>Debra Jorgensen, del Grupo Guía de Luz, explicó además que el DDS no está certificando los programas de formación de FI que existen en la actualidad. Trabajan con un contratista fuera de California para crear un programa de certificación de FI, incluyendo los que ya están practicando. Se desconoce cuándo estará disponible</w:t>
                        </w:r>
                        <w:r w:rsidR="00B65C02">
                          <w:rPr>
                            <w:rFonts w:asciiTheme="majorHAnsi" w:eastAsiaTheme="minorHAnsi" w:hAnsiTheme="majorHAnsi" w:cstheme="majorHAnsi"/>
                            <w:color w:val="39394D"/>
                            <w:sz w:val="24"/>
                            <w:szCs w:val="24"/>
                          </w:rPr>
                          <w:t xml:space="preserve">. </w:t>
                        </w:r>
                      </w:p>
                      <w:p w14:paraId="5C0F9864" w14:textId="77777777" w:rsidR="00B65C02" w:rsidRDefault="00B65C02" w:rsidP="00430765">
                        <w:pPr>
                          <w:spacing w:line="300" w:lineRule="atLeast"/>
                          <w:rPr>
                            <w:rFonts w:asciiTheme="majorHAnsi" w:eastAsiaTheme="minorHAnsi" w:hAnsiTheme="majorHAnsi" w:cstheme="majorHAnsi"/>
                            <w:color w:val="39394D"/>
                            <w:sz w:val="24"/>
                            <w:szCs w:val="24"/>
                          </w:rPr>
                        </w:pPr>
                      </w:p>
                      <w:p w14:paraId="24F49ADA" w14:textId="3CFC89B6" w:rsidR="00B65C02" w:rsidRDefault="00DB4965" w:rsidP="00430765">
                        <w:pPr>
                          <w:spacing w:line="300" w:lineRule="atLeast"/>
                          <w:rPr>
                            <w:rFonts w:asciiTheme="majorHAnsi" w:eastAsiaTheme="minorHAnsi" w:hAnsiTheme="majorHAnsi" w:cstheme="majorHAnsi"/>
                            <w:color w:val="39394D"/>
                            <w:sz w:val="24"/>
                            <w:szCs w:val="24"/>
                          </w:rPr>
                        </w:pPr>
                        <w:r w:rsidRPr="00DB4965">
                          <w:rPr>
                            <w:rFonts w:asciiTheme="majorHAnsi" w:eastAsiaTheme="minorHAnsi" w:hAnsiTheme="majorHAnsi" w:cstheme="majorHAnsi"/>
                            <w:color w:val="39394D"/>
                            <w:sz w:val="24"/>
                            <w:szCs w:val="24"/>
                          </w:rPr>
                          <w:t>Ellisa Reiff, Supervisora del SDP, terminó presentando los próximos eventos de divulgación del SDP. La próxima Feria de Vendedores del SDP tendrá lugar a principios del próximo año. El</w:t>
                        </w:r>
                        <w:r>
                          <w:rPr>
                            <w:rFonts w:asciiTheme="majorHAnsi" w:eastAsiaTheme="minorHAnsi" w:hAnsiTheme="majorHAnsi" w:cstheme="majorHAnsi"/>
                            <w:color w:val="39394D"/>
                            <w:sz w:val="24"/>
                            <w:szCs w:val="24"/>
                          </w:rPr>
                          <w:t xml:space="preserve"> </w:t>
                        </w:r>
                        <w:r w:rsidRPr="00DB4965">
                          <w:rPr>
                            <w:rFonts w:asciiTheme="majorHAnsi" w:eastAsiaTheme="minorHAnsi" w:hAnsiTheme="majorHAnsi" w:cstheme="majorHAnsi"/>
                            <w:color w:val="39394D"/>
                            <w:sz w:val="24"/>
                            <w:szCs w:val="24"/>
                          </w:rPr>
                          <w:t>14 de septiembre, SDP estará presente durante el Simposio de Reunión en Volviéndose Independiente (Becoming Independent). Será un panel de discusión con un padre activo de un cliente de SDP para compartir más información sobre el programa. Luego, habrá un entrenamiento vía Zoom el 17 de septiembre para negocios y vendedores interesados en aprender más sobre el financiamiento de SDP. El</w:t>
                        </w:r>
                        <w:r>
                          <w:rPr>
                            <w:rFonts w:asciiTheme="majorHAnsi" w:eastAsiaTheme="minorHAnsi" w:hAnsiTheme="majorHAnsi" w:cstheme="majorHAnsi"/>
                            <w:color w:val="39394D"/>
                            <w:sz w:val="24"/>
                            <w:szCs w:val="24"/>
                          </w:rPr>
                          <w:t xml:space="preserve"> </w:t>
                        </w:r>
                        <w:r w:rsidRPr="00DB4965">
                          <w:rPr>
                            <w:rFonts w:asciiTheme="majorHAnsi" w:eastAsiaTheme="minorHAnsi" w:hAnsiTheme="majorHAnsi" w:cstheme="majorHAnsi"/>
                            <w:color w:val="39394D"/>
                            <w:sz w:val="24"/>
                            <w:szCs w:val="24"/>
                          </w:rPr>
                          <w:t>18 de septiembre, el equipo de SDP estará presentando un entrenamiento bilingüe en persona en Padres Pueden, (Parents Can) para familias de habla hispana. Ellisa también mencionó que está planeando con Yulahlia iniciar una " Hora del Cafecito" en el Condado de Sonoma para que las familias que no hablan inglés como su primer idioma puedan venir y hablar sobre el SDP. El</w:t>
                        </w:r>
                        <w:r>
                          <w:rPr>
                            <w:rFonts w:asciiTheme="majorHAnsi" w:eastAsiaTheme="minorHAnsi" w:hAnsiTheme="majorHAnsi" w:cstheme="majorHAnsi"/>
                            <w:color w:val="39394D"/>
                            <w:sz w:val="24"/>
                            <w:szCs w:val="24"/>
                          </w:rPr>
                          <w:t xml:space="preserve"> </w:t>
                        </w:r>
                        <w:r w:rsidRPr="00DB4965">
                          <w:rPr>
                            <w:rFonts w:asciiTheme="majorHAnsi" w:eastAsiaTheme="minorHAnsi" w:hAnsiTheme="majorHAnsi" w:cstheme="majorHAnsi"/>
                            <w:color w:val="39394D"/>
                            <w:sz w:val="24"/>
                            <w:szCs w:val="24"/>
                          </w:rPr>
                          <w:t>24 de septiembre, el equipo de SDP presentará un entrenamiento para Coordinadores de Servicios bilingües vía Zoom. El</w:t>
                        </w:r>
                        <w:r>
                          <w:rPr>
                            <w:rFonts w:asciiTheme="majorHAnsi" w:eastAsiaTheme="minorHAnsi" w:hAnsiTheme="majorHAnsi" w:cstheme="majorHAnsi"/>
                            <w:color w:val="39394D"/>
                            <w:sz w:val="24"/>
                            <w:szCs w:val="24"/>
                          </w:rPr>
                          <w:t xml:space="preserve"> </w:t>
                        </w:r>
                        <w:r w:rsidRPr="00DB4965">
                          <w:rPr>
                            <w:rFonts w:asciiTheme="majorHAnsi" w:eastAsiaTheme="minorHAnsi" w:hAnsiTheme="majorHAnsi" w:cstheme="majorHAnsi"/>
                            <w:color w:val="39394D"/>
                            <w:sz w:val="24"/>
                            <w:szCs w:val="24"/>
                          </w:rPr>
                          <w:t>22 y</w:t>
                        </w:r>
                        <w:r>
                          <w:rPr>
                            <w:rFonts w:asciiTheme="majorHAnsi" w:eastAsiaTheme="minorHAnsi" w:hAnsiTheme="majorHAnsi" w:cstheme="majorHAnsi"/>
                            <w:color w:val="39394D"/>
                            <w:sz w:val="24"/>
                            <w:szCs w:val="24"/>
                          </w:rPr>
                          <w:t xml:space="preserve"> </w:t>
                        </w:r>
                        <w:r w:rsidRPr="00DB4965">
                          <w:rPr>
                            <w:rFonts w:asciiTheme="majorHAnsi" w:eastAsiaTheme="minorHAnsi" w:hAnsiTheme="majorHAnsi" w:cstheme="majorHAnsi"/>
                            <w:color w:val="39394D"/>
                            <w:sz w:val="24"/>
                            <w:szCs w:val="24"/>
                          </w:rPr>
                          <w:t>23 de octubre, el equipo de SDP participará en una presentación virtual con los coordinadores de alcance de NBRC para dos grupos de enfoque de padres, uno en inglés y otro en español, con el único enfoque en SDP</w:t>
                        </w:r>
                        <w:r w:rsidR="009D4D5D">
                          <w:rPr>
                            <w:rFonts w:asciiTheme="majorHAnsi" w:eastAsiaTheme="minorHAnsi" w:hAnsiTheme="majorHAnsi" w:cstheme="majorHAnsi"/>
                            <w:color w:val="39394D"/>
                            <w:sz w:val="24"/>
                            <w:szCs w:val="24"/>
                          </w:rPr>
                          <w:t xml:space="preserve">. </w:t>
                        </w:r>
                      </w:p>
                      <w:p w14:paraId="38880ECF" w14:textId="77777777" w:rsidR="009D4D5D" w:rsidRDefault="009D4D5D" w:rsidP="00430765">
                        <w:pPr>
                          <w:spacing w:line="300" w:lineRule="atLeast"/>
                          <w:rPr>
                            <w:rFonts w:asciiTheme="majorHAnsi" w:eastAsiaTheme="minorHAnsi" w:hAnsiTheme="majorHAnsi" w:cstheme="majorHAnsi"/>
                            <w:color w:val="39394D"/>
                            <w:sz w:val="24"/>
                            <w:szCs w:val="24"/>
                          </w:rPr>
                        </w:pPr>
                      </w:p>
                      <w:p w14:paraId="3EFB9AF7" w14:textId="03F508F1" w:rsidR="00792444" w:rsidRDefault="00DB4965" w:rsidP="00430765">
                        <w:pPr>
                          <w:spacing w:line="300" w:lineRule="atLeast"/>
                          <w:rPr>
                            <w:rFonts w:asciiTheme="majorHAnsi" w:eastAsiaTheme="minorHAnsi" w:hAnsiTheme="majorHAnsi" w:cstheme="majorHAnsi"/>
                            <w:color w:val="39394D"/>
                            <w:sz w:val="24"/>
                            <w:szCs w:val="24"/>
                          </w:rPr>
                        </w:pPr>
                        <w:r w:rsidRPr="00DB4965">
                          <w:rPr>
                            <w:rFonts w:asciiTheme="majorHAnsi" w:eastAsiaTheme="minorHAnsi" w:hAnsiTheme="majorHAnsi" w:cstheme="majorHAnsi"/>
                            <w:color w:val="39394D"/>
                            <w:sz w:val="24"/>
                            <w:szCs w:val="24"/>
                          </w:rPr>
                          <w:t>En cuanto a los fondos de SDAC, de la asignación D1 (Año Fiscal 2022-2023), se gastaron $25,000 en el proceso de RFP; $21,856 se gastaron en un contrato con Facilitación Phoenix; $2,600 se gastaron en el evento de divulgación en junio de 2024. La mayor parte de los fondos del evento de divulgación se destinaron a folletos, bolsas, notas adhesivas y bolígrafos. La asignación D1 para el año fiscal 2023-2024 no se ha gastado en este momento, pero Ellisa hará algunas recomendaciones sobre en qué utilizar los fondos</w:t>
                        </w:r>
                        <w:r w:rsidR="00792444">
                          <w:rPr>
                            <w:rFonts w:asciiTheme="majorHAnsi" w:eastAsiaTheme="minorHAnsi" w:hAnsiTheme="majorHAnsi" w:cstheme="majorHAnsi"/>
                            <w:color w:val="39394D"/>
                            <w:sz w:val="24"/>
                            <w:szCs w:val="24"/>
                          </w:rPr>
                          <w:t xml:space="preserve">. </w:t>
                        </w:r>
                      </w:p>
                      <w:p w14:paraId="7C18538C" w14:textId="77777777" w:rsidR="00792444" w:rsidRDefault="00792444" w:rsidP="00430765">
                        <w:pPr>
                          <w:spacing w:line="300" w:lineRule="atLeast"/>
                          <w:rPr>
                            <w:rFonts w:asciiTheme="majorHAnsi" w:eastAsiaTheme="minorHAnsi" w:hAnsiTheme="majorHAnsi" w:cstheme="majorHAnsi"/>
                            <w:color w:val="39394D"/>
                            <w:sz w:val="24"/>
                            <w:szCs w:val="24"/>
                          </w:rPr>
                        </w:pPr>
                      </w:p>
                      <w:p w14:paraId="253CCAB5" w14:textId="4E10A283" w:rsidR="00792444" w:rsidRPr="00B05A9F" w:rsidRDefault="00DB4965" w:rsidP="00430765">
                        <w:pPr>
                          <w:spacing w:line="300" w:lineRule="atLeast"/>
                          <w:rPr>
                            <w:rFonts w:asciiTheme="majorHAnsi" w:eastAsiaTheme="minorHAnsi" w:hAnsiTheme="majorHAnsi" w:cstheme="majorHAnsi"/>
                            <w:color w:val="39394D"/>
                            <w:sz w:val="24"/>
                            <w:szCs w:val="24"/>
                          </w:rPr>
                        </w:pPr>
                        <w:r w:rsidRPr="00DB4965">
                          <w:rPr>
                            <w:rFonts w:asciiTheme="majorHAnsi" w:eastAsiaTheme="minorHAnsi" w:hAnsiTheme="majorHAnsi" w:cstheme="majorHAnsi"/>
                            <w:color w:val="39394D"/>
                            <w:sz w:val="24"/>
                            <w:szCs w:val="24"/>
                          </w:rPr>
                          <w:t>Por último, Ellisa compartió que NBRC está apoyando al equipo de SDP y está contratando a otro Coordinador de Elección de Participantes para ampliar el equip</w:t>
                        </w:r>
                        <w:r w:rsidR="007E2BEC">
                          <w:rPr>
                            <w:rFonts w:asciiTheme="majorHAnsi" w:eastAsiaTheme="minorHAnsi" w:hAnsiTheme="majorHAnsi" w:cstheme="majorHAnsi"/>
                            <w:color w:val="39394D"/>
                            <w:sz w:val="24"/>
                            <w:szCs w:val="24"/>
                          </w:rPr>
                          <w:t>!</w:t>
                        </w:r>
                      </w:p>
                    </w:tc>
                  </w:tr>
                </w:tbl>
                <w:p w14:paraId="3AD20F85" w14:textId="77777777" w:rsidR="00430765" w:rsidRPr="00B05A9F" w:rsidRDefault="00430765" w:rsidP="00430765">
                  <w:pPr>
                    <w:spacing w:line="300" w:lineRule="atLeast"/>
                    <w:rPr>
                      <w:rFonts w:asciiTheme="majorHAnsi" w:hAnsiTheme="majorHAnsi" w:cstheme="majorHAnsi"/>
                      <w:color w:val="39394D"/>
                      <w:sz w:val="24"/>
                      <w:szCs w:val="24"/>
                    </w:rPr>
                  </w:pPr>
                </w:p>
              </w:tc>
            </w:tr>
            <w:tr w:rsidR="00430765" w:rsidRPr="00B05A9F" w14:paraId="6377F53E" w14:textId="77777777" w:rsidTr="00D042C8">
              <w:trPr>
                <w:trHeight w:val="300"/>
                <w:tblCellSpacing w:w="0" w:type="dxa"/>
              </w:trPr>
              <w:tc>
                <w:tcPr>
                  <w:tcW w:w="0" w:type="auto"/>
                  <w:vAlign w:val="center"/>
                  <w:hideMark/>
                </w:tcPr>
                <w:p w14:paraId="4A8C499B" w14:textId="77777777" w:rsidR="00430765" w:rsidRPr="00B05A9F" w:rsidRDefault="00430765" w:rsidP="00430765">
                  <w:pPr>
                    <w:rPr>
                      <w:rFonts w:asciiTheme="majorHAnsi" w:hAnsiTheme="majorHAnsi" w:cstheme="majorHAnsi"/>
                      <w:color w:val="39394D"/>
                      <w:sz w:val="24"/>
                      <w:szCs w:val="24"/>
                    </w:rPr>
                  </w:pPr>
                </w:p>
              </w:tc>
              <w:tc>
                <w:tcPr>
                  <w:tcW w:w="0" w:type="auto"/>
                  <w:vAlign w:val="center"/>
                  <w:hideMark/>
                </w:tcPr>
                <w:p w14:paraId="02F09B06" w14:textId="77777777" w:rsidR="00430765" w:rsidRPr="00B05A9F" w:rsidRDefault="00430765" w:rsidP="00430765">
                  <w:pPr>
                    <w:rPr>
                      <w:rFonts w:asciiTheme="majorHAnsi" w:eastAsia="Times New Roman" w:hAnsiTheme="majorHAnsi" w:cstheme="majorHAnsi"/>
                      <w:sz w:val="24"/>
                      <w:szCs w:val="24"/>
                    </w:rPr>
                  </w:pPr>
                </w:p>
              </w:tc>
            </w:tr>
          </w:tbl>
          <w:p w14:paraId="403B2970" w14:textId="636FB571" w:rsidR="00430765" w:rsidRPr="00B05A9F" w:rsidRDefault="00430765" w:rsidP="00430765">
            <w:pPr>
              <w:spacing w:after="160" w:line="259" w:lineRule="auto"/>
              <w:rPr>
                <w:rFonts w:asciiTheme="majorHAnsi" w:hAnsiTheme="majorHAnsi" w:cstheme="majorHAnsi"/>
                <w:sz w:val="24"/>
                <w:szCs w:val="24"/>
              </w:rPr>
            </w:pPr>
          </w:p>
        </w:tc>
      </w:tr>
      <w:tr w:rsidR="00430765" w:rsidRPr="00B05A9F" w14:paraId="0EBCBF53" w14:textId="77777777" w:rsidTr="00CA71F8">
        <w:trPr>
          <w:trHeight w:val="2366"/>
        </w:trPr>
        <w:tc>
          <w:tcPr>
            <w:tcW w:w="3600" w:type="dxa"/>
          </w:tcPr>
          <w:p w14:paraId="0DFF53D7" w14:textId="2C1A5F87" w:rsidR="00430765" w:rsidRPr="00F821C2" w:rsidRDefault="00DB4965" w:rsidP="00430765">
            <w:pPr>
              <w:rPr>
                <w:rFonts w:asciiTheme="majorHAnsi" w:eastAsia="Assistant" w:hAnsiTheme="majorHAnsi" w:cstheme="majorHAnsi"/>
                <w:b/>
                <w:sz w:val="28"/>
                <w:szCs w:val="28"/>
              </w:rPr>
            </w:pPr>
            <w:r w:rsidRPr="00DB4965">
              <w:rPr>
                <w:rFonts w:asciiTheme="majorHAnsi" w:eastAsia="Assistant" w:hAnsiTheme="majorHAnsi" w:cstheme="majorHAnsi"/>
                <w:b/>
                <w:sz w:val="28"/>
                <w:szCs w:val="28"/>
              </w:rPr>
              <w:lastRenderedPageBreak/>
              <w:t>Actualización del SCDD</w:t>
            </w:r>
            <w:r w:rsidR="00430765" w:rsidRPr="00F821C2">
              <w:rPr>
                <w:rFonts w:asciiTheme="majorHAnsi" w:eastAsia="Assistant" w:hAnsiTheme="majorHAnsi" w:cstheme="majorHAnsi"/>
                <w:b/>
                <w:sz w:val="28"/>
                <w:szCs w:val="28"/>
              </w:rPr>
              <w:t>:</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6804"/>
            </w:tblGrid>
            <w:tr w:rsidR="00430765" w:rsidRPr="00B05A9F" w14:paraId="772C6DF9" w14:textId="77777777" w:rsidTr="00D23296">
              <w:trPr>
                <w:tblCellSpacing w:w="0" w:type="dxa"/>
              </w:trPr>
              <w:tc>
                <w:tcPr>
                  <w:tcW w:w="0" w:type="auto"/>
                </w:tcPr>
                <w:p w14:paraId="746F9177" w14:textId="4841FD9E" w:rsidR="00430765" w:rsidRPr="00B05A9F" w:rsidRDefault="00430765" w:rsidP="00430765">
                  <w:pPr>
                    <w:spacing w:line="300" w:lineRule="atLeast"/>
                    <w:rPr>
                      <w:rFonts w:asciiTheme="majorHAnsi" w:hAnsiTheme="majorHAnsi" w:cstheme="majorHAnsi"/>
                      <w:color w:val="39394D"/>
                      <w:sz w:val="24"/>
                      <w:szCs w:val="24"/>
                    </w:rPr>
                  </w:pPr>
                </w:p>
              </w:tc>
            </w:tr>
            <w:tr w:rsidR="008E51A4" w:rsidRPr="00B05A9F" w14:paraId="26D2BCB1" w14:textId="77777777" w:rsidTr="006756E3">
              <w:trPr>
                <w:trHeight w:val="300"/>
                <w:tblCellSpacing w:w="0" w:type="dxa"/>
              </w:trPr>
              <w:tc>
                <w:tcPr>
                  <w:tcW w:w="0" w:type="auto"/>
                </w:tcPr>
                <w:p w14:paraId="7E83F173" w14:textId="162B604A" w:rsidR="00732D0E" w:rsidRPr="00B05A9F" w:rsidRDefault="00421C04" w:rsidP="00DB4C91">
                  <w:pPr>
                    <w:rPr>
                      <w:rFonts w:asciiTheme="majorHAnsi" w:hAnsiTheme="majorHAnsi" w:cstheme="majorHAnsi"/>
                      <w:color w:val="39394D"/>
                      <w:sz w:val="24"/>
                      <w:szCs w:val="24"/>
                    </w:rPr>
                  </w:pPr>
                  <w:r w:rsidRPr="00421C04">
                    <w:rPr>
                      <w:rFonts w:asciiTheme="majorHAnsi" w:hAnsiTheme="majorHAnsi" w:cstheme="majorHAnsi"/>
                      <w:color w:val="39394D"/>
                      <w:sz w:val="24"/>
                      <w:szCs w:val="24"/>
                    </w:rPr>
                    <w:t>Tobías de SCDD informó sobre la presentación de Kenia Martínez y compartió su experiencia con su participación en la defensa de los jóvenes en transición y la primera infancia. SCDD será el anfitrión de un NBRC clínica abierta de 3-6PM que ocurre el segundo lunes de cada mes. También será el anfitrión de un IEP clínica abierta que se produce los miércoles de 5-7PM. Ambas clínicas se llevarán a cabo en la oficina regional de SCDD en Vallejo, CA. SCDD también será el anfitrión de la Subvención Escaparate de Formación, donde las Voces de Discapacidad Unidas presentará su subvención en relación con SDP a través de California de 10:30-11:30AM. A continuación, hay una formación de la Presidencia, donde las personas involucradas en SDP aprender acerca de las direcciones que cubren lo que los objetivos son para los comités de 12-1PM</w:t>
                  </w:r>
                  <w:r w:rsidR="00DE25E2" w:rsidRPr="00B05A9F">
                    <w:rPr>
                      <w:rFonts w:asciiTheme="majorHAnsi" w:hAnsiTheme="majorHAnsi" w:cstheme="majorHAnsi"/>
                      <w:color w:val="39394D"/>
                      <w:sz w:val="24"/>
                      <w:szCs w:val="24"/>
                    </w:rPr>
                    <w:t>.</w:t>
                  </w:r>
                </w:p>
              </w:tc>
            </w:tr>
            <w:tr w:rsidR="008E51A4" w:rsidRPr="00B05A9F" w14:paraId="24E1B2C1" w14:textId="77777777" w:rsidTr="00D23296">
              <w:trPr>
                <w:tblCellSpacing w:w="0" w:type="dxa"/>
              </w:trPr>
              <w:tc>
                <w:tcPr>
                  <w:tcW w:w="0" w:type="auto"/>
                </w:tcPr>
                <w:p w14:paraId="29C6566E" w14:textId="77777777" w:rsidR="008E51A4" w:rsidRPr="00B05A9F" w:rsidRDefault="008E51A4" w:rsidP="008E51A4">
                  <w:pPr>
                    <w:spacing w:line="300" w:lineRule="atLeast"/>
                    <w:rPr>
                      <w:rFonts w:asciiTheme="majorHAnsi" w:eastAsiaTheme="minorHAnsi" w:hAnsiTheme="majorHAnsi" w:cstheme="majorHAnsi"/>
                      <w:color w:val="39394D"/>
                      <w:sz w:val="24"/>
                      <w:szCs w:val="24"/>
                    </w:rPr>
                  </w:pPr>
                </w:p>
                <w:p w14:paraId="7D9DAC23" w14:textId="4B6073D0" w:rsidR="00DE25E2" w:rsidRPr="00B05A9F" w:rsidRDefault="00421C04" w:rsidP="008E51A4">
                  <w:pPr>
                    <w:spacing w:line="300" w:lineRule="atLeast"/>
                    <w:rPr>
                      <w:rFonts w:asciiTheme="majorHAnsi" w:eastAsiaTheme="minorHAnsi" w:hAnsiTheme="majorHAnsi" w:cstheme="majorHAnsi"/>
                      <w:color w:val="39394D"/>
                      <w:sz w:val="24"/>
                      <w:szCs w:val="24"/>
                    </w:rPr>
                  </w:pPr>
                  <w:r w:rsidRPr="00421C04">
                    <w:rPr>
                      <w:rFonts w:asciiTheme="majorHAnsi" w:eastAsiaTheme="minorHAnsi" w:hAnsiTheme="majorHAnsi" w:cstheme="majorHAnsi"/>
                      <w:color w:val="39394D"/>
                      <w:sz w:val="24"/>
                      <w:szCs w:val="24"/>
                    </w:rPr>
                    <w:t>Kenia Martínez informa de que uno de los enfoques del Plan Director del Estado es la transición de los jóvenes. Esto cubrirá el transporte, la preparación para el trabajo, la capacidad de trabajo, la sexualidad y otros aspectos que afectan a los jóvenes en transición. El objetivo es facilitar el acceso a los recursos y apoyar a los jóvenes en transición, sin descuidar otras áreas</w:t>
                  </w:r>
                  <w:r w:rsidR="00DE25E2" w:rsidRPr="00B05A9F">
                    <w:rPr>
                      <w:rFonts w:asciiTheme="majorHAnsi" w:eastAsiaTheme="minorHAnsi" w:hAnsiTheme="majorHAnsi" w:cstheme="majorHAnsi"/>
                      <w:color w:val="39394D"/>
                      <w:sz w:val="24"/>
                      <w:szCs w:val="24"/>
                    </w:rPr>
                    <w:t xml:space="preserve">. </w:t>
                  </w:r>
                </w:p>
              </w:tc>
            </w:tr>
            <w:tr w:rsidR="008E51A4" w:rsidRPr="00B05A9F" w14:paraId="0A6F780C" w14:textId="77777777" w:rsidTr="00D23296">
              <w:trPr>
                <w:tblCellSpacing w:w="0" w:type="dxa"/>
              </w:trPr>
              <w:tc>
                <w:tcPr>
                  <w:tcW w:w="0" w:type="auto"/>
                </w:tcPr>
                <w:p w14:paraId="0193494B" w14:textId="1B7634E5" w:rsidR="008E51A4" w:rsidRPr="00B05A9F" w:rsidRDefault="008E51A4" w:rsidP="008E51A4">
                  <w:pPr>
                    <w:spacing w:line="300" w:lineRule="atLeast"/>
                    <w:rPr>
                      <w:rFonts w:asciiTheme="majorHAnsi" w:hAnsiTheme="majorHAnsi" w:cstheme="majorHAnsi"/>
                      <w:color w:val="39394D"/>
                      <w:sz w:val="24"/>
                      <w:szCs w:val="24"/>
                    </w:rPr>
                  </w:pPr>
                </w:p>
              </w:tc>
            </w:tr>
            <w:tr w:rsidR="008E51A4" w:rsidRPr="00B05A9F" w14:paraId="1DCF6E3E" w14:textId="77777777" w:rsidTr="00D23296">
              <w:trPr>
                <w:trHeight w:val="68"/>
                <w:tblCellSpacing w:w="0" w:type="dxa"/>
              </w:trPr>
              <w:tc>
                <w:tcPr>
                  <w:tcW w:w="0" w:type="auto"/>
                  <w:vAlign w:val="center"/>
                  <w:hideMark/>
                </w:tcPr>
                <w:p w14:paraId="715D27DE" w14:textId="77777777" w:rsidR="008E51A4" w:rsidRPr="00B05A9F" w:rsidRDefault="008E51A4" w:rsidP="008E51A4">
                  <w:pPr>
                    <w:rPr>
                      <w:rFonts w:asciiTheme="majorHAnsi" w:hAnsiTheme="majorHAnsi" w:cstheme="majorHAnsi"/>
                      <w:color w:val="39394D"/>
                      <w:sz w:val="24"/>
                      <w:szCs w:val="24"/>
                    </w:rPr>
                  </w:pPr>
                </w:p>
              </w:tc>
            </w:tr>
            <w:tr w:rsidR="008E51A4" w:rsidRPr="00B05A9F" w14:paraId="5604DC53" w14:textId="77777777" w:rsidTr="00D23296">
              <w:trPr>
                <w:tblCellSpacing w:w="0" w:type="dxa"/>
              </w:trPr>
              <w:tc>
                <w:tcPr>
                  <w:tcW w:w="0" w:type="auto"/>
                </w:tcPr>
                <w:p w14:paraId="39C502B0" w14:textId="564FC2E3" w:rsidR="008E51A4" w:rsidRPr="00B05A9F" w:rsidRDefault="008E51A4" w:rsidP="008E51A4">
                  <w:pPr>
                    <w:spacing w:line="300" w:lineRule="atLeast"/>
                    <w:rPr>
                      <w:rFonts w:asciiTheme="majorHAnsi" w:eastAsiaTheme="minorHAnsi" w:hAnsiTheme="majorHAnsi" w:cstheme="majorHAnsi"/>
                      <w:color w:val="39394D"/>
                      <w:sz w:val="24"/>
                      <w:szCs w:val="24"/>
                    </w:rPr>
                  </w:pPr>
                </w:p>
              </w:tc>
            </w:tr>
            <w:tr w:rsidR="008E51A4" w:rsidRPr="00B05A9F" w14:paraId="78136757" w14:textId="77777777" w:rsidTr="00CA71F8">
              <w:trPr>
                <w:trHeight w:val="60"/>
                <w:tblCellSpacing w:w="0" w:type="dxa"/>
              </w:trPr>
              <w:tc>
                <w:tcPr>
                  <w:tcW w:w="0" w:type="auto"/>
                </w:tcPr>
                <w:p w14:paraId="13853372" w14:textId="6F3B704A" w:rsidR="008E51A4" w:rsidRPr="00B05A9F" w:rsidRDefault="008E51A4" w:rsidP="008E51A4">
                  <w:pPr>
                    <w:spacing w:line="300" w:lineRule="atLeast"/>
                    <w:rPr>
                      <w:rFonts w:asciiTheme="majorHAnsi" w:hAnsiTheme="majorHAnsi" w:cstheme="majorHAnsi"/>
                      <w:color w:val="39394D"/>
                      <w:sz w:val="24"/>
                      <w:szCs w:val="24"/>
                    </w:rPr>
                  </w:pPr>
                </w:p>
              </w:tc>
            </w:tr>
          </w:tbl>
          <w:p w14:paraId="17400998" w14:textId="00B35BB0" w:rsidR="00430765" w:rsidRPr="00B05A9F" w:rsidRDefault="00430765" w:rsidP="00430765">
            <w:pPr>
              <w:spacing w:after="160" w:line="259" w:lineRule="auto"/>
              <w:rPr>
                <w:rFonts w:asciiTheme="majorHAnsi" w:hAnsiTheme="majorHAnsi" w:cstheme="majorHAnsi"/>
                <w:sz w:val="24"/>
                <w:szCs w:val="24"/>
              </w:rPr>
            </w:pPr>
          </w:p>
        </w:tc>
      </w:tr>
      <w:tr w:rsidR="00430765" w:rsidRPr="00B05A9F" w14:paraId="77A9382C" w14:textId="77777777" w:rsidTr="00AC6736">
        <w:tc>
          <w:tcPr>
            <w:tcW w:w="3600" w:type="dxa"/>
          </w:tcPr>
          <w:p w14:paraId="7A0481FB" w14:textId="71833DAB" w:rsidR="00430765" w:rsidRPr="002D340D" w:rsidRDefault="00421C04" w:rsidP="00430765">
            <w:pPr>
              <w:rPr>
                <w:rFonts w:asciiTheme="majorHAnsi" w:eastAsia="Assistant" w:hAnsiTheme="majorHAnsi" w:cstheme="majorHAnsi"/>
                <w:bCs/>
                <w:sz w:val="28"/>
                <w:szCs w:val="28"/>
              </w:rPr>
            </w:pPr>
            <w:r w:rsidRPr="00421C04">
              <w:rPr>
                <w:rFonts w:asciiTheme="majorHAnsi" w:eastAsia="Assistant" w:hAnsiTheme="majorHAnsi" w:cstheme="majorHAnsi"/>
                <w:b/>
                <w:sz w:val="28"/>
                <w:szCs w:val="28"/>
              </w:rPr>
              <w:t>Facilitación Phoenix</w:t>
            </w:r>
            <w:r w:rsidR="00430765">
              <w:rPr>
                <w:rFonts w:asciiTheme="majorHAnsi" w:eastAsia="Assistant" w:hAnsiTheme="majorHAnsi" w:cstheme="majorHAnsi"/>
                <w:b/>
                <w:sz w:val="28"/>
                <w:szCs w:val="28"/>
              </w:rPr>
              <w:t xml:space="preserve">– </w:t>
            </w:r>
            <w:r w:rsidR="00430765">
              <w:rPr>
                <w:rFonts w:asciiTheme="majorHAnsi" w:eastAsia="Assistant" w:hAnsiTheme="majorHAnsi" w:cstheme="majorHAnsi"/>
                <w:bCs/>
                <w:sz w:val="28"/>
                <w:szCs w:val="28"/>
              </w:rPr>
              <w:t xml:space="preserve">Naomi Hagel </w:t>
            </w:r>
            <w:r>
              <w:rPr>
                <w:rFonts w:asciiTheme="majorHAnsi" w:eastAsia="Assistant" w:hAnsiTheme="majorHAnsi" w:cstheme="majorHAnsi"/>
                <w:bCs/>
                <w:sz w:val="28"/>
                <w:szCs w:val="28"/>
              </w:rPr>
              <w:t>Y</w:t>
            </w:r>
            <w:r w:rsidR="00430765">
              <w:rPr>
                <w:rFonts w:asciiTheme="majorHAnsi" w:eastAsia="Assistant" w:hAnsiTheme="majorHAnsi" w:cstheme="majorHAnsi"/>
                <w:bCs/>
                <w:sz w:val="28"/>
                <w:szCs w:val="28"/>
              </w:rPr>
              <w:t xml:space="preserve"> Julia LaRose</w:t>
            </w:r>
          </w:p>
        </w:tc>
        <w:tc>
          <w:tcPr>
            <w:tcW w:w="7020" w:type="dxa"/>
          </w:tcPr>
          <w:p w14:paraId="5CD87910" w14:textId="1AE9ABBA" w:rsidR="00430765" w:rsidRPr="00B05A9F" w:rsidRDefault="00421C04" w:rsidP="00430765">
            <w:pPr>
              <w:spacing w:after="160" w:line="259" w:lineRule="auto"/>
              <w:rPr>
                <w:rFonts w:asciiTheme="majorHAnsi" w:hAnsiTheme="majorHAnsi" w:cstheme="majorHAnsi"/>
                <w:color w:val="39394D"/>
                <w:sz w:val="24"/>
                <w:szCs w:val="24"/>
              </w:rPr>
            </w:pPr>
            <w:r w:rsidRPr="00421C04">
              <w:rPr>
                <w:rFonts w:asciiTheme="majorHAnsi" w:hAnsiTheme="majorHAnsi" w:cstheme="majorHAnsi"/>
                <w:color w:val="39394D"/>
                <w:sz w:val="24"/>
                <w:szCs w:val="24"/>
              </w:rPr>
              <w:t>Naomi Hagel, de Facilitación Phoenix, informó sobre sus actividades recientes, como la elaboración de materiales para la formación de proveedores. La Facilitación de Phoenix y NBRC SDP se reúnen una vez al mes para revisar casos específicos y ver dónde se necesita ayuda. Siguen recibiendo formularios de admisión ocasionales, en los que se reúnen con el interesado y lo remiten a un Facilitador Independiente. Hacen referencia a la página de la red CA SDP, así como recomendaciones</w:t>
            </w:r>
            <w:r w:rsidR="00DB4C91" w:rsidRPr="00B05A9F">
              <w:rPr>
                <w:rFonts w:asciiTheme="majorHAnsi" w:hAnsiTheme="majorHAnsi" w:cstheme="majorHAnsi"/>
                <w:color w:val="39394D"/>
                <w:sz w:val="24"/>
                <w:szCs w:val="24"/>
              </w:rPr>
              <w:t xml:space="preserve">. </w:t>
            </w:r>
          </w:p>
        </w:tc>
      </w:tr>
      <w:tr w:rsidR="00430765" w:rsidRPr="00B05A9F" w14:paraId="32485444" w14:textId="77777777" w:rsidTr="00AC6736">
        <w:tc>
          <w:tcPr>
            <w:tcW w:w="3600" w:type="dxa"/>
          </w:tcPr>
          <w:p w14:paraId="31DCD643" w14:textId="08551E1B" w:rsidR="00430765" w:rsidRDefault="00421C04" w:rsidP="00430765">
            <w:pPr>
              <w:rPr>
                <w:rFonts w:asciiTheme="majorHAnsi" w:eastAsia="Assistant" w:hAnsiTheme="majorHAnsi" w:cstheme="majorHAnsi"/>
                <w:b/>
                <w:sz w:val="28"/>
                <w:szCs w:val="28"/>
              </w:rPr>
            </w:pPr>
            <w:r w:rsidRPr="00421C04">
              <w:rPr>
                <w:rFonts w:asciiTheme="majorHAnsi" w:eastAsia="Assistant" w:hAnsiTheme="majorHAnsi" w:cstheme="majorHAnsi"/>
                <w:b/>
                <w:sz w:val="28"/>
                <w:szCs w:val="28"/>
              </w:rPr>
              <w:t>Asuntos Pendientes</w:t>
            </w:r>
          </w:p>
        </w:tc>
        <w:tc>
          <w:tcPr>
            <w:tcW w:w="7020" w:type="dxa"/>
          </w:tcPr>
          <w:p w14:paraId="00149FEF" w14:textId="6B29F486" w:rsidR="00430765" w:rsidRPr="00B05A9F" w:rsidRDefault="007959D2" w:rsidP="00430765">
            <w:pPr>
              <w:spacing w:after="160" w:line="259" w:lineRule="auto"/>
              <w:rPr>
                <w:rFonts w:asciiTheme="majorHAnsi" w:hAnsiTheme="majorHAnsi" w:cstheme="majorHAnsi"/>
                <w:sz w:val="24"/>
                <w:szCs w:val="24"/>
              </w:rPr>
            </w:pPr>
            <w:r>
              <w:rPr>
                <w:rFonts w:asciiTheme="majorHAnsi" w:hAnsiTheme="majorHAnsi" w:cstheme="majorHAnsi"/>
                <w:sz w:val="24"/>
                <w:szCs w:val="24"/>
              </w:rPr>
              <w:t>Ningunos</w:t>
            </w:r>
            <w:r w:rsidR="00732D0E" w:rsidRPr="00B05A9F">
              <w:rPr>
                <w:rFonts w:asciiTheme="majorHAnsi" w:hAnsiTheme="majorHAnsi" w:cstheme="majorHAnsi"/>
                <w:sz w:val="24"/>
                <w:szCs w:val="24"/>
              </w:rPr>
              <w:t>.</w:t>
            </w:r>
          </w:p>
        </w:tc>
      </w:tr>
      <w:tr w:rsidR="00430765" w:rsidRPr="00B05A9F" w14:paraId="665F23A5" w14:textId="77777777" w:rsidTr="00AC6736">
        <w:tc>
          <w:tcPr>
            <w:tcW w:w="3600" w:type="dxa"/>
          </w:tcPr>
          <w:p w14:paraId="1BD57046" w14:textId="0FF9F677" w:rsidR="00430765" w:rsidRDefault="00421C04" w:rsidP="00430765">
            <w:pPr>
              <w:rPr>
                <w:rFonts w:asciiTheme="majorHAnsi" w:eastAsia="Assistant" w:hAnsiTheme="majorHAnsi" w:cstheme="majorHAnsi"/>
                <w:b/>
                <w:sz w:val="28"/>
                <w:szCs w:val="28"/>
              </w:rPr>
            </w:pPr>
            <w:r w:rsidRPr="00421C04">
              <w:rPr>
                <w:rFonts w:asciiTheme="majorHAnsi" w:eastAsia="Assistant" w:hAnsiTheme="majorHAnsi" w:cstheme="majorHAnsi"/>
                <w:b/>
                <w:sz w:val="28"/>
                <w:szCs w:val="28"/>
              </w:rPr>
              <w:t>Asuntos Nuevos</w:t>
            </w:r>
          </w:p>
        </w:tc>
        <w:tc>
          <w:tcPr>
            <w:tcW w:w="7020" w:type="dxa"/>
          </w:tcPr>
          <w:p w14:paraId="6640FE0D" w14:textId="5D01EB7D" w:rsidR="00430765" w:rsidRPr="00B05A9F" w:rsidRDefault="007959D2" w:rsidP="00430765">
            <w:pPr>
              <w:spacing w:after="160" w:line="259" w:lineRule="auto"/>
              <w:rPr>
                <w:rFonts w:asciiTheme="majorHAnsi" w:hAnsiTheme="majorHAnsi" w:cstheme="majorHAnsi"/>
                <w:sz w:val="24"/>
                <w:szCs w:val="24"/>
              </w:rPr>
            </w:pPr>
            <w:r>
              <w:rPr>
                <w:rFonts w:asciiTheme="majorHAnsi" w:hAnsiTheme="majorHAnsi" w:cstheme="majorHAnsi"/>
                <w:sz w:val="24"/>
                <w:szCs w:val="24"/>
              </w:rPr>
              <w:t>Ningunos</w:t>
            </w:r>
            <w:r w:rsidR="00732D0E" w:rsidRPr="00B05A9F">
              <w:rPr>
                <w:rFonts w:asciiTheme="majorHAnsi" w:hAnsiTheme="majorHAnsi" w:cstheme="majorHAnsi"/>
                <w:sz w:val="24"/>
                <w:szCs w:val="24"/>
              </w:rPr>
              <w:t>.</w:t>
            </w:r>
          </w:p>
        </w:tc>
      </w:tr>
      <w:tr w:rsidR="00430765" w:rsidRPr="00B05A9F" w14:paraId="193086B9" w14:textId="77777777" w:rsidTr="00AC6736">
        <w:tc>
          <w:tcPr>
            <w:tcW w:w="3600" w:type="dxa"/>
          </w:tcPr>
          <w:p w14:paraId="6AE7527F" w14:textId="584668D4" w:rsidR="00430765" w:rsidRDefault="00421C04" w:rsidP="00430765">
            <w:pPr>
              <w:rPr>
                <w:rFonts w:asciiTheme="majorHAnsi" w:eastAsia="Assistant" w:hAnsiTheme="majorHAnsi" w:cstheme="majorHAnsi"/>
                <w:b/>
                <w:sz w:val="28"/>
                <w:szCs w:val="28"/>
              </w:rPr>
            </w:pPr>
            <w:r w:rsidRPr="00421C04">
              <w:rPr>
                <w:rFonts w:asciiTheme="majorHAnsi" w:eastAsia="Assistant" w:hAnsiTheme="majorHAnsi" w:cstheme="majorHAnsi"/>
                <w:b/>
                <w:sz w:val="28"/>
                <w:szCs w:val="28"/>
              </w:rPr>
              <w:t>Comentarios del Público</w:t>
            </w:r>
          </w:p>
        </w:tc>
        <w:tc>
          <w:tcPr>
            <w:tcW w:w="7020" w:type="dxa"/>
          </w:tcPr>
          <w:p w14:paraId="0737E961" w14:textId="173CD6E7" w:rsidR="00732D0E" w:rsidRPr="00B05A9F" w:rsidRDefault="00421C04" w:rsidP="00430765">
            <w:pPr>
              <w:spacing w:after="160" w:line="259" w:lineRule="auto"/>
              <w:rPr>
                <w:rFonts w:asciiTheme="majorHAnsi" w:hAnsiTheme="majorHAnsi" w:cstheme="majorHAnsi"/>
                <w:sz w:val="24"/>
                <w:szCs w:val="24"/>
              </w:rPr>
            </w:pPr>
            <w:r w:rsidRPr="00421C04">
              <w:rPr>
                <w:rFonts w:asciiTheme="majorHAnsi" w:hAnsiTheme="majorHAnsi" w:cstheme="majorHAnsi"/>
                <w:sz w:val="24"/>
                <w:szCs w:val="24"/>
              </w:rPr>
              <w:t xml:space="preserve">Teresa Scripps, Defensora de Padres, comentó sobre la búsqueda de empleo para Sara, su hijastra, dentro de su comunidad para ayudar a </w:t>
            </w:r>
            <w:r w:rsidRPr="00421C04">
              <w:rPr>
                <w:rFonts w:asciiTheme="majorHAnsi" w:hAnsiTheme="majorHAnsi" w:cstheme="majorHAnsi"/>
                <w:sz w:val="24"/>
                <w:szCs w:val="24"/>
              </w:rPr>
              <w:lastRenderedPageBreak/>
              <w:t>mejorar sus habilidades sociales/independencia. Sara fue rechazada de un puesto de trabajo porque no tenía suficiente capacitación para el puesto de oficina que solicitó. Le comunicaron que necesitaría experiencia en ofimática. Sara tomará un curso para aprender más sobre cómo hacer habilidades de oficina. Ellisa se ofreció a ayudar a Teresa y a reunirse internamente para hablar de las empresas que aceptan fondos del SDP y ayudarla a encontrar empleo</w:t>
            </w:r>
            <w:r w:rsidR="00732D0E" w:rsidRPr="00B05A9F">
              <w:rPr>
                <w:rFonts w:asciiTheme="majorHAnsi" w:hAnsiTheme="majorHAnsi" w:cstheme="majorHAnsi"/>
                <w:sz w:val="24"/>
                <w:szCs w:val="24"/>
              </w:rPr>
              <w:t xml:space="preserve">. </w:t>
            </w:r>
          </w:p>
          <w:p w14:paraId="4754BF02" w14:textId="5F96B960" w:rsidR="00732D0E" w:rsidRPr="00B05A9F" w:rsidRDefault="00421C04" w:rsidP="00430765">
            <w:pPr>
              <w:spacing w:after="160" w:line="259" w:lineRule="auto"/>
              <w:rPr>
                <w:rFonts w:asciiTheme="majorHAnsi" w:hAnsiTheme="majorHAnsi" w:cstheme="majorHAnsi"/>
                <w:sz w:val="24"/>
                <w:szCs w:val="24"/>
              </w:rPr>
            </w:pPr>
            <w:r w:rsidRPr="00421C04">
              <w:rPr>
                <w:rFonts w:asciiTheme="majorHAnsi" w:hAnsiTheme="majorHAnsi" w:cstheme="majorHAnsi"/>
                <w:sz w:val="24"/>
                <w:szCs w:val="24"/>
              </w:rPr>
              <w:t>Lilia Valitova, Defensora de Padres, compartió una experiencia en la que un padre le habló de una oportunidad de trabajo en la que personas con discapacidad ayudan a limpiar y reparar jardines</w:t>
            </w:r>
            <w:r w:rsidR="00732D0E" w:rsidRPr="00B05A9F">
              <w:rPr>
                <w:rFonts w:asciiTheme="majorHAnsi" w:hAnsiTheme="majorHAnsi" w:cstheme="majorHAnsi"/>
                <w:sz w:val="24"/>
                <w:szCs w:val="24"/>
              </w:rPr>
              <w:t>.</w:t>
            </w:r>
          </w:p>
        </w:tc>
      </w:tr>
      <w:tr w:rsidR="00430765" w:rsidRPr="00B05A9F" w14:paraId="70C84BCD" w14:textId="77777777" w:rsidTr="00AC6736">
        <w:tc>
          <w:tcPr>
            <w:tcW w:w="3600" w:type="dxa"/>
          </w:tcPr>
          <w:p w14:paraId="75AD1642" w14:textId="4F5C3112" w:rsidR="00430765" w:rsidRDefault="007959D2" w:rsidP="00430765">
            <w:pPr>
              <w:rPr>
                <w:rFonts w:asciiTheme="majorHAnsi" w:eastAsia="Assistant" w:hAnsiTheme="majorHAnsi" w:cstheme="majorHAnsi"/>
                <w:b/>
                <w:sz w:val="28"/>
                <w:szCs w:val="28"/>
              </w:rPr>
            </w:pPr>
            <w:r w:rsidRPr="007959D2">
              <w:rPr>
                <w:rFonts w:asciiTheme="majorHAnsi" w:eastAsia="Assistant" w:hAnsiTheme="majorHAnsi" w:cstheme="majorHAnsi"/>
                <w:b/>
                <w:sz w:val="28"/>
                <w:szCs w:val="28"/>
              </w:rPr>
              <w:lastRenderedPageBreak/>
              <w:t>Puntos del Orden del Día para futuras reuniones</w:t>
            </w:r>
          </w:p>
        </w:tc>
        <w:tc>
          <w:tcPr>
            <w:tcW w:w="7020" w:type="dxa"/>
          </w:tcPr>
          <w:p w14:paraId="0C3BE4E1" w14:textId="20365DC4" w:rsidR="00732D0E" w:rsidRPr="00B05A9F" w:rsidRDefault="007959D2" w:rsidP="00430765">
            <w:pPr>
              <w:spacing w:after="160" w:line="259" w:lineRule="auto"/>
              <w:rPr>
                <w:rFonts w:asciiTheme="majorHAnsi" w:hAnsiTheme="majorHAnsi" w:cstheme="majorHAnsi"/>
                <w:sz w:val="24"/>
                <w:szCs w:val="24"/>
                <w:vertAlign w:val="superscript"/>
              </w:rPr>
            </w:pPr>
            <w:r w:rsidRPr="007959D2">
              <w:rPr>
                <w:rFonts w:asciiTheme="majorHAnsi" w:hAnsiTheme="majorHAnsi" w:cstheme="majorHAnsi"/>
                <w:sz w:val="24"/>
                <w:szCs w:val="24"/>
              </w:rPr>
              <w:t>Próximo SDAC programado el 4 de noviembre, que la Junta acordó</w:t>
            </w:r>
            <w:r w:rsidR="00732D0E" w:rsidRPr="00B05A9F">
              <w:rPr>
                <w:rFonts w:asciiTheme="majorHAnsi" w:hAnsiTheme="majorHAnsi" w:cstheme="majorHAnsi"/>
                <w:sz w:val="24"/>
                <w:szCs w:val="24"/>
              </w:rPr>
              <w:t xml:space="preserve">. </w:t>
            </w:r>
          </w:p>
        </w:tc>
      </w:tr>
      <w:tr w:rsidR="00430765" w:rsidRPr="00B05A9F" w14:paraId="25B93560" w14:textId="77777777" w:rsidTr="00AC6736">
        <w:tc>
          <w:tcPr>
            <w:tcW w:w="3600" w:type="dxa"/>
          </w:tcPr>
          <w:p w14:paraId="4F10DCED" w14:textId="0B1EED24" w:rsidR="00430765" w:rsidRDefault="007959D2" w:rsidP="00430765">
            <w:pPr>
              <w:rPr>
                <w:rFonts w:asciiTheme="majorHAnsi" w:eastAsia="Assistant" w:hAnsiTheme="majorHAnsi" w:cstheme="majorHAnsi"/>
                <w:b/>
                <w:sz w:val="28"/>
                <w:szCs w:val="28"/>
              </w:rPr>
            </w:pPr>
            <w:r w:rsidRPr="007959D2">
              <w:rPr>
                <w:rFonts w:asciiTheme="majorHAnsi" w:eastAsia="Assistant" w:hAnsiTheme="majorHAnsi" w:cstheme="majorHAnsi"/>
                <w:b/>
                <w:sz w:val="28"/>
                <w:szCs w:val="28"/>
              </w:rPr>
              <w:t>Anuncios</w:t>
            </w:r>
          </w:p>
        </w:tc>
        <w:tc>
          <w:tcPr>
            <w:tcW w:w="7020" w:type="dxa"/>
          </w:tcPr>
          <w:p w14:paraId="53E8D17B" w14:textId="5C4173EC" w:rsidR="00430765" w:rsidRPr="00B05A9F" w:rsidRDefault="007959D2" w:rsidP="00430765">
            <w:pPr>
              <w:spacing w:after="160" w:line="259" w:lineRule="auto"/>
              <w:rPr>
                <w:rFonts w:asciiTheme="majorHAnsi" w:hAnsiTheme="majorHAnsi" w:cstheme="majorHAnsi"/>
                <w:sz w:val="24"/>
                <w:szCs w:val="24"/>
              </w:rPr>
            </w:pPr>
            <w:r>
              <w:rPr>
                <w:rFonts w:asciiTheme="majorHAnsi" w:hAnsiTheme="majorHAnsi" w:cstheme="majorHAnsi"/>
                <w:sz w:val="24"/>
                <w:szCs w:val="24"/>
              </w:rPr>
              <w:t>Ninguno</w:t>
            </w:r>
            <w:r w:rsidR="00732D0E" w:rsidRPr="00B05A9F">
              <w:rPr>
                <w:rFonts w:asciiTheme="majorHAnsi" w:hAnsiTheme="majorHAnsi" w:cstheme="majorHAnsi"/>
                <w:sz w:val="24"/>
                <w:szCs w:val="24"/>
              </w:rPr>
              <w:t>.</w:t>
            </w:r>
          </w:p>
        </w:tc>
      </w:tr>
      <w:tr w:rsidR="00430765" w:rsidRPr="00B05A9F" w14:paraId="67903C5B" w14:textId="77777777" w:rsidTr="00AC6736">
        <w:trPr>
          <w:trHeight w:val="440"/>
        </w:trPr>
        <w:tc>
          <w:tcPr>
            <w:tcW w:w="3600" w:type="dxa"/>
          </w:tcPr>
          <w:p w14:paraId="4D41679C" w14:textId="363B9D36" w:rsidR="00430765" w:rsidRPr="00D66597" w:rsidRDefault="007959D2" w:rsidP="00430765">
            <w:pPr>
              <w:rPr>
                <w:rFonts w:asciiTheme="majorHAnsi" w:eastAsia="Assistant" w:hAnsiTheme="majorHAnsi" w:cstheme="majorHAnsi"/>
                <w:b/>
                <w:sz w:val="28"/>
                <w:szCs w:val="28"/>
              </w:rPr>
            </w:pPr>
            <w:r w:rsidRPr="007959D2">
              <w:rPr>
                <w:rFonts w:asciiTheme="majorHAnsi" w:eastAsia="Assistant" w:hAnsiTheme="majorHAnsi" w:cstheme="majorHAnsi"/>
                <w:b/>
                <w:sz w:val="28"/>
                <w:szCs w:val="28"/>
              </w:rPr>
              <w:t>APLAZAMIENTO</w:t>
            </w:r>
          </w:p>
        </w:tc>
        <w:tc>
          <w:tcPr>
            <w:tcW w:w="7020" w:type="dxa"/>
          </w:tcPr>
          <w:p w14:paraId="6130AD4D" w14:textId="1ECC2F71" w:rsidR="00430765" w:rsidRPr="00B05A9F" w:rsidRDefault="00F21AF5" w:rsidP="00430765">
            <w:pPr>
              <w:pStyle w:val="NoSpacing"/>
              <w:rPr>
                <w:rFonts w:asciiTheme="majorHAnsi" w:hAnsiTheme="majorHAnsi" w:cstheme="majorHAnsi"/>
                <w:sz w:val="24"/>
                <w:szCs w:val="24"/>
              </w:rPr>
            </w:pPr>
            <w:r w:rsidRPr="00B05A9F">
              <w:rPr>
                <w:rFonts w:asciiTheme="majorHAnsi" w:hAnsiTheme="majorHAnsi" w:cstheme="majorHAnsi"/>
                <w:sz w:val="24"/>
                <w:szCs w:val="24"/>
              </w:rPr>
              <w:t>1:23PM</w:t>
            </w:r>
          </w:p>
          <w:p w14:paraId="237556D0" w14:textId="77777777" w:rsidR="00430765" w:rsidRPr="00B05A9F" w:rsidRDefault="00430765" w:rsidP="00430765">
            <w:pPr>
              <w:rPr>
                <w:rFonts w:asciiTheme="majorHAnsi" w:eastAsia="Assistant" w:hAnsiTheme="majorHAnsi" w:cstheme="majorHAnsi"/>
                <w:sz w:val="24"/>
                <w:szCs w:val="24"/>
              </w:rPr>
            </w:pPr>
          </w:p>
        </w:tc>
      </w:tr>
    </w:tbl>
    <w:p w14:paraId="23686440" w14:textId="77777777" w:rsidR="00385267" w:rsidRPr="00D66597" w:rsidRDefault="00385267" w:rsidP="00A978D0">
      <w:pPr>
        <w:rPr>
          <w:rFonts w:asciiTheme="majorHAnsi" w:eastAsia="Assistant" w:hAnsiTheme="majorHAnsi" w:cstheme="majorHAnsi"/>
          <w:sz w:val="24"/>
          <w:szCs w:val="24"/>
        </w:rPr>
      </w:pPr>
    </w:p>
    <w:sectPr w:rsidR="00385267" w:rsidRPr="00D66597" w:rsidSect="003D22AE">
      <w:type w:val="continuous"/>
      <w:pgSz w:w="12240" w:h="15840"/>
      <w:pgMar w:top="900" w:right="720" w:bottom="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E87" w14:textId="77777777" w:rsidR="009159E6" w:rsidRDefault="009159E6">
      <w:pPr>
        <w:spacing w:line="240" w:lineRule="auto"/>
      </w:pPr>
      <w:r>
        <w:separator/>
      </w:r>
    </w:p>
  </w:endnote>
  <w:endnote w:type="continuationSeparator" w:id="0">
    <w:p w14:paraId="0DFEBDC5" w14:textId="77777777" w:rsidR="009159E6" w:rsidRDefault="0091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80E3" w14:textId="77777777" w:rsidR="00336F60" w:rsidRDefault="006B6FB3">
    <w:pPr>
      <w:jc w:val="right"/>
    </w:pPr>
    <w:r>
      <w:fldChar w:fldCharType="begin"/>
    </w:r>
    <w:r>
      <w:instrText>PAGE</w:instrText>
    </w:r>
    <w:r>
      <w:fldChar w:fldCharType="separate"/>
    </w:r>
    <w:r w:rsidR="003D22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61D5" w14:textId="77777777" w:rsidR="009159E6" w:rsidRDefault="009159E6">
      <w:pPr>
        <w:spacing w:line="240" w:lineRule="auto"/>
      </w:pPr>
      <w:r>
        <w:separator/>
      </w:r>
    </w:p>
  </w:footnote>
  <w:footnote w:type="continuationSeparator" w:id="0">
    <w:p w14:paraId="05FBB3D8" w14:textId="77777777" w:rsidR="009159E6" w:rsidRDefault="0091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0AFE" w14:textId="77777777" w:rsidR="00ED6CAA" w:rsidRDefault="00385267" w:rsidP="00385267">
    <w:pPr>
      <w:pStyle w:val="Header"/>
      <w:tabs>
        <w:tab w:val="clear" w:pos="4680"/>
        <w:tab w:val="clear" w:pos="9360"/>
        <w:tab w:val="left" w:pos="8475"/>
      </w:tabs>
    </w:pPr>
    <w:r>
      <w:tab/>
    </w:r>
  </w:p>
  <w:p w14:paraId="74108524" w14:textId="77777777" w:rsidR="00ED6CAA"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2A"/>
    <w:multiLevelType w:val="hybridMultilevel"/>
    <w:tmpl w:val="2514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7E1"/>
    <w:multiLevelType w:val="hybridMultilevel"/>
    <w:tmpl w:val="D458C3D0"/>
    <w:lvl w:ilvl="0" w:tplc="B3647B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DDF"/>
    <w:multiLevelType w:val="hybridMultilevel"/>
    <w:tmpl w:val="706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DA6"/>
    <w:multiLevelType w:val="hybridMultilevel"/>
    <w:tmpl w:val="5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7291C"/>
    <w:multiLevelType w:val="hybridMultilevel"/>
    <w:tmpl w:val="52C85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A343D4"/>
    <w:multiLevelType w:val="hybridMultilevel"/>
    <w:tmpl w:val="5BA2C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4077F"/>
    <w:multiLevelType w:val="hybridMultilevel"/>
    <w:tmpl w:val="B47A1F4E"/>
    <w:lvl w:ilvl="0" w:tplc="8BCC8514">
      <w:start w:val="1"/>
      <w:numFmt w:val="decimal"/>
      <w:lvlText w:val="%1."/>
      <w:lvlJc w:val="left"/>
      <w:pPr>
        <w:ind w:left="6930" w:hanging="360"/>
      </w:pPr>
    </w:lvl>
    <w:lvl w:ilvl="1" w:tplc="04090019">
      <w:start w:val="1"/>
      <w:numFmt w:val="lowerLetter"/>
      <w:lvlText w:val="%2."/>
      <w:lvlJc w:val="left"/>
      <w:pPr>
        <w:ind w:left="7650" w:hanging="360"/>
      </w:pPr>
    </w:lvl>
    <w:lvl w:ilvl="2" w:tplc="0409001B">
      <w:start w:val="1"/>
      <w:numFmt w:val="lowerRoman"/>
      <w:lvlText w:val="%3."/>
      <w:lvlJc w:val="right"/>
      <w:pPr>
        <w:ind w:left="8370" w:hanging="180"/>
      </w:pPr>
    </w:lvl>
    <w:lvl w:ilvl="3" w:tplc="0409000F">
      <w:start w:val="1"/>
      <w:numFmt w:val="decimal"/>
      <w:lvlText w:val="%4."/>
      <w:lvlJc w:val="left"/>
      <w:pPr>
        <w:ind w:left="9090" w:hanging="360"/>
      </w:pPr>
    </w:lvl>
    <w:lvl w:ilvl="4" w:tplc="04090019">
      <w:start w:val="1"/>
      <w:numFmt w:val="lowerLetter"/>
      <w:lvlText w:val="%5."/>
      <w:lvlJc w:val="left"/>
      <w:pPr>
        <w:ind w:left="9810" w:hanging="360"/>
      </w:pPr>
    </w:lvl>
    <w:lvl w:ilvl="5" w:tplc="0409001B">
      <w:start w:val="1"/>
      <w:numFmt w:val="lowerRoman"/>
      <w:lvlText w:val="%6."/>
      <w:lvlJc w:val="right"/>
      <w:pPr>
        <w:ind w:left="10530" w:hanging="180"/>
      </w:pPr>
    </w:lvl>
    <w:lvl w:ilvl="6" w:tplc="0409000F">
      <w:start w:val="1"/>
      <w:numFmt w:val="decimal"/>
      <w:lvlText w:val="%7."/>
      <w:lvlJc w:val="left"/>
      <w:pPr>
        <w:ind w:left="11250" w:hanging="360"/>
      </w:pPr>
    </w:lvl>
    <w:lvl w:ilvl="7" w:tplc="04090019">
      <w:start w:val="1"/>
      <w:numFmt w:val="lowerLetter"/>
      <w:lvlText w:val="%8."/>
      <w:lvlJc w:val="left"/>
      <w:pPr>
        <w:ind w:left="11970" w:hanging="360"/>
      </w:pPr>
    </w:lvl>
    <w:lvl w:ilvl="8" w:tplc="0409001B">
      <w:start w:val="1"/>
      <w:numFmt w:val="lowerRoman"/>
      <w:lvlText w:val="%9."/>
      <w:lvlJc w:val="right"/>
      <w:pPr>
        <w:ind w:left="12690" w:hanging="180"/>
      </w:pPr>
    </w:lvl>
  </w:abstractNum>
  <w:abstractNum w:abstractNumId="7" w15:restartNumberingAfterBreak="0">
    <w:nsid w:val="46195FD1"/>
    <w:multiLevelType w:val="hybridMultilevel"/>
    <w:tmpl w:val="1FE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21754"/>
    <w:multiLevelType w:val="hybridMultilevel"/>
    <w:tmpl w:val="4A9CC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76BEA"/>
    <w:multiLevelType w:val="hybridMultilevel"/>
    <w:tmpl w:val="96388D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21810"/>
    <w:multiLevelType w:val="hybridMultilevel"/>
    <w:tmpl w:val="C7B4E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940AF4"/>
    <w:multiLevelType w:val="hybridMultilevel"/>
    <w:tmpl w:val="B7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00C5C"/>
    <w:multiLevelType w:val="hybridMultilevel"/>
    <w:tmpl w:val="AC0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A0E3E"/>
    <w:multiLevelType w:val="hybridMultilevel"/>
    <w:tmpl w:val="93A46A1E"/>
    <w:lvl w:ilvl="0" w:tplc="EC32C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E37CA"/>
    <w:multiLevelType w:val="hybridMultilevel"/>
    <w:tmpl w:val="1BF4B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502C41"/>
    <w:multiLevelType w:val="multilevel"/>
    <w:tmpl w:val="01B4CB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894527">
    <w:abstractNumId w:val="15"/>
  </w:num>
  <w:num w:numId="2" w16cid:durableId="1171985207">
    <w:abstractNumId w:val="4"/>
  </w:num>
  <w:num w:numId="3" w16cid:durableId="2040399303">
    <w:abstractNumId w:val="3"/>
  </w:num>
  <w:num w:numId="4" w16cid:durableId="2047607066">
    <w:abstractNumId w:val="9"/>
  </w:num>
  <w:num w:numId="5" w16cid:durableId="1937594214">
    <w:abstractNumId w:val="2"/>
  </w:num>
  <w:num w:numId="6" w16cid:durableId="860322054">
    <w:abstractNumId w:val="7"/>
  </w:num>
  <w:num w:numId="7" w16cid:durableId="1664696420">
    <w:abstractNumId w:val="5"/>
  </w:num>
  <w:num w:numId="8" w16cid:durableId="376390789">
    <w:abstractNumId w:val="1"/>
  </w:num>
  <w:num w:numId="9" w16cid:durableId="887450671">
    <w:abstractNumId w:val="0"/>
  </w:num>
  <w:num w:numId="10" w16cid:durableId="1632518552">
    <w:abstractNumId w:val="8"/>
  </w:num>
  <w:num w:numId="11" w16cid:durableId="553196923">
    <w:abstractNumId w:val="11"/>
  </w:num>
  <w:num w:numId="12" w16cid:durableId="484973579">
    <w:abstractNumId w:val="13"/>
  </w:num>
  <w:num w:numId="13" w16cid:durableId="2118670014">
    <w:abstractNumId w:val="14"/>
  </w:num>
  <w:num w:numId="14" w16cid:durableId="274557327">
    <w:abstractNumId w:val="10"/>
  </w:num>
  <w:num w:numId="15" w16cid:durableId="30300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100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60"/>
    <w:rsid w:val="00042DDB"/>
    <w:rsid w:val="00044D45"/>
    <w:rsid w:val="00072848"/>
    <w:rsid w:val="000B2DC9"/>
    <w:rsid w:val="000C0891"/>
    <w:rsid w:val="000F624E"/>
    <w:rsid w:val="001140D6"/>
    <w:rsid w:val="001514EB"/>
    <w:rsid w:val="00156542"/>
    <w:rsid w:val="00175592"/>
    <w:rsid w:val="00194B00"/>
    <w:rsid w:val="001F18B8"/>
    <w:rsid w:val="001F1CFB"/>
    <w:rsid w:val="00206912"/>
    <w:rsid w:val="002128C6"/>
    <w:rsid w:val="00212A5E"/>
    <w:rsid w:val="00217AFB"/>
    <w:rsid w:val="002260B0"/>
    <w:rsid w:val="002448D5"/>
    <w:rsid w:val="00264081"/>
    <w:rsid w:val="002658C8"/>
    <w:rsid w:val="0026694D"/>
    <w:rsid w:val="002A096B"/>
    <w:rsid w:val="002B71FE"/>
    <w:rsid w:val="002B7674"/>
    <w:rsid w:val="002C7C84"/>
    <w:rsid w:val="002D340D"/>
    <w:rsid w:val="002F32A5"/>
    <w:rsid w:val="002F634E"/>
    <w:rsid w:val="00336F60"/>
    <w:rsid w:val="00343810"/>
    <w:rsid w:val="00385267"/>
    <w:rsid w:val="00391B3B"/>
    <w:rsid w:val="003A1267"/>
    <w:rsid w:val="003B2229"/>
    <w:rsid w:val="003D22AE"/>
    <w:rsid w:val="00403906"/>
    <w:rsid w:val="00406E41"/>
    <w:rsid w:val="00411D7A"/>
    <w:rsid w:val="00421C04"/>
    <w:rsid w:val="00430765"/>
    <w:rsid w:val="00440763"/>
    <w:rsid w:val="00455DD1"/>
    <w:rsid w:val="00467364"/>
    <w:rsid w:val="00471B66"/>
    <w:rsid w:val="0047603D"/>
    <w:rsid w:val="00483115"/>
    <w:rsid w:val="00494EED"/>
    <w:rsid w:val="004D7077"/>
    <w:rsid w:val="005045A7"/>
    <w:rsid w:val="00517DC2"/>
    <w:rsid w:val="005273FD"/>
    <w:rsid w:val="00556D50"/>
    <w:rsid w:val="005A3D12"/>
    <w:rsid w:val="005C2E73"/>
    <w:rsid w:val="005D42AC"/>
    <w:rsid w:val="00603D8C"/>
    <w:rsid w:val="006673B6"/>
    <w:rsid w:val="00667F7F"/>
    <w:rsid w:val="00684131"/>
    <w:rsid w:val="0069098C"/>
    <w:rsid w:val="00693196"/>
    <w:rsid w:val="006B6FB3"/>
    <w:rsid w:val="006D1DE7"/>
    <w:rsid w:val="007109F2"/>
    <w:rsid w:val="00711871"/>
    <w:rsid w:val="007204C9"/>
    <w:rsid w:val="00732D0E"/>
    <w:rsid w:val="007566CB"/>
    <w:rsid w:val="007601D0"/>
    <w:rsid w:val="00782299"/>
    <w:rsid w:val="00792444"/>
    <w:rsid w:val="00794A6D"/>
    <w:rsid w:val="007959D2"/>
    <w:rsid w:val="007B58AB"/>
    <w:rsid w:val="007E2BEC"/>
    <w:rsid w:val="007F7929"/>
    <w:rsid w:val="00825202"/>
    <w:rsid w:val="008466ED"/>
    <w:rsid w:val="008715F7"/>
    <w:rsid w:val="00890922"/>
    <w:rsid w:val="00891663"/>
    <w:rsid w:val="008B7752"/>
    <w:rsid w:val="008E51A4"/>
    <w:rsid w:val="008E796B"/>
    <w:rsid w:val="008F513B"/>
    <w:rsid w:val="009159E6"/>
    <w:rsid w:val="009247AA"/>
    <w:rsid w:val="00944FAC"/>
    <w:rsid w:val="00956B6C"/>
    <w:rsid w:val="009604E7"/>
    <w:rsid w:val="009738EC"/>
    <w:rsid w:val="00995DC7"/>
    <w:rsid w:val="009D4D5D"/>
    <w:rsid w:val="00A415CA"/>
    <w:rsid w:val="00A55601"/>
    <w:rsid w:val="00A754BE"/>
    <w:rsid w:val="00A978D0"/>
    <w:rsid w:val="00AC6736"/>
    <w:rsid w:val="00AE1AD5"/>
    <w:rsid w:val="00AF6ED2"/>
    <w:rsid w:val="00B05A9F"/>
    <w:rsid w:val="00B24369"/>
    <w:rsid w:val="00B32B55"/>
    <w:rsid w:val="00B344D2"/>
    <w:rsid w:val="00B47D15"/>
    <w:rsid w:val="00B50C73"/>
    <w:rsid w:val="00B55B0A"/>
    <w:rsid w:val="00B65C02"/>
    <w:rsid w:val="00B7357C"/>
    <w:rsid w:val="00B92393"/>
    <w:rsid w:val="00BA216B"/>
    <w:rsid w:val="00BB215E"/>
    <w:rsid w:val="00BC3B77"/>
    <w:rsid w:val="00BD11DD"/>
    <w:rsid w:val="00BE0622"/>
    <w:rsid w:val="00BE078E"/>
    <w:rsid w:val="00BE6D82"/>
    <w:rsid w:val="00BF2EE0"/>
    <w:rsid w:val="00C1447D"/>
    <w:rsid w:val="00C20B5F"/>
    <w:rsid w:val="00C25972"/>
    <w:rsid w:val="00C53098"/>
    <w:rsid w:val="00C572BA"/>
    <w:rsid w:val="00C779B6"/>
    <w:rsid w:val="00CA690D"/>
    <w:rsid w:val="00CA71F8"/>
    <w:rsid w:val="00CB0C81"/>
    <w:rsid w:val="00D07FCA"/>
    <w:rsid w:val="00D23296"/>
    <w:rsid w:val="00D23D88"/>
    <w:rsid w:val="00D37891"/>
    <w:rsid w:val="00D61082"/>
    <w:rsid w:val="00D66597"/>
    <w:rsid w:val="00D828C3"/>
    <w:rsid w:val="00DA592D"/>
    <w:rsid w:val="00DB356E"/>
    <w:rsid w:val="00DB4965"/>
    <w:rsid w:val="00DB4C91"/>
    <w:rsid w:val="00DE25E2"/>
    <w:rsid w:val="00E2037D"/>
    <w:rsid w:val="00E36EEF"/>
    <w:rsid w:val="00E51614"/>
    <w:rsid w:val="00E51860"/>
    <w:rsid w:val="00E53038"/>
    <w:rsid w:val="00E67F3D"/>
    <w:rsid w:val="00E960DE"/>
    <w:rsid w:val="00E96EE7"/>
    <w:rsid w:val="00EB3924"/>
    <w:rsid w:val="00EC1E28"/>
    <w:rsid w:val="00EC2707"/>
    <w:rsid w:val="00EC7BF1"/>
    <w:rsid w:val="00ED6CAA"/>
    <w:rsid w:val="00EF172A"/>
    <w:rsid w:val="00EF25AD"/>
    <w:rsid w:val="00EF6F92"/>
    <w:rsid w:val="00F21AF5"/>
    <w:rsid w:val="00F43BC0"/>
    <w:rsid w:val="00F821C2"/>
    <w:rsid w:val="00F84EC0"/>
    <w:rsid w:val="00FA0DC8"/>
    <w:rsid w:val="00FB227A"/>
    <w:rsid w:val="00FF3A29"/>
    <w:rsid w:val="00FF5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5015"/>
  <w15:docId w15:val="{AC62BEE4-CF2B-4DD1-95CF-0A41F9E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54BE"/>
    <w:pPr>
      <w:ind w:left="720"/>
      <w:contextualSpacing/>
    </w:pPr>
  </w:style>
  <w:style w:type="character" w:styleId="Hyperlink">
    <w:name w:val="Hyperlink"/>
    <w:basedOn w:val="DefaultParagraphFont"/>
    <w:uiPriority w:val="99"/>
    <w:unhideWhenUsed/>
    <w:rsid w:val="00411D7A"/>
    <w:rPr>
      <w:color w:val="0000FF" w:themeColor="hyperlink"/>
      <w:u w:val="single"/>
    </w:rPr>
  </w:style>
  <w:style w:type="character" w:styleId="Strong">
    <w:name w:val="Strong"/>
    <w:basedOn w:val="DefaultParagraphFont"/>
    <w:uiPriority w:val="22"/>
    <w:qFormat/>
    <w:rsid w:val="00411D7A"/>
    <w:rPr>
      <w:b/>
      <w:bCs/>
    </w:rPr>
  </w:style>
  <w:style w:type="paragraph" w:styleId="Header">
    <w:name w:val="header"/>
    <w:basedOn w:val="Normal"/>
    <w:link w:val="HeaderChar"/>
    <w:uiPriority w:val="99"/>
    <w:unhideWhenUsed/>
    <w:rsid w:val="008E796B"/>
    <w:pPr>
      <w:tabs>
        <w:tab w:val="center" w:pos="4680"/>
        <w:tab w:val="right" w:pos="9360"/>
      </w:tabs>
      <w:spacing w:line="240" w:lineRule="auto"/>
    </w:pPr>
  </w:style>
  <w:style w:type="character" w:customStyle="1" w:styleId="HeaderChar">
    <w:name w:val="Header Char"/>
    <w:basedOn w:val="DefaultParagraphFont"/>
    <w:link w:val="Header"/>
    <w:uiPriority w:val="99"/>
    <w:rsid w:val="008E796B"/>
  </w:style>
  <w:style w:type="paragraph" w:styleId="Footer">
    <w:name w:val="footer"/>
    <w:basedOn w:val="Normal"/>
    <w:link w:val="FooterChar"/>
    <w:uiPriority w:val="99"/>
    <w:unhideWhenUsed/>
    <w:rsid w:val="008E796B"/>
    <w:pPr>
      <w:tabs>
        <w:tab w:val="center" w:pos="4680"/>
        <w:tab w:val="right" w:pos="9360"/>
      </w:tabs>
      <w:spacing w:line="240" w:lineRule="auto"/>
    </w:pPr>
  </w:style>
  <w:style w:type="character" w:customStyle="1" w:styleId="FooterChar">
    <w:name w:val="Footer Char"/>
    <w:basedOn w:val="DefaultParagraphFont"/>
    <w:link w:val="Footer"/>
    <w:uiPriority w:val="99"/>
    <w:rsid w:val="008E796B"/>
  </w:style>
  <w:style w:type="table" w:styleId="TableGrid">
    <w:name w:val="Table Grid"/>
    <w:basedOn w:val="TableNormal"/>
    <w:uiPriority w:val="39"/>
    <w:rsid w:val="00E53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736"/>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2C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8182">
      <w:bodyDiv w:val="1"/>
      <w:marLeft w:val="0"/>
      <w:marRight w:val="0"/>
      <w:marTop w:val="0"/>
      <w:marBottom w:val="0"/>
      <w:divBdr>
        <w:top w:val="none" w:sz="0" w:space="0" w:color="auto"/>
        <w:left w:val="none" w:sz="0" w:space="0" w:color="auto"/>
        <w:bottom w:val="none" w:sz="0" w:space="0" w:color="auto"/>
        <w:right w:val="none" w:sz="0" w:space="0" w:color="auto"/>
      </w:divBdr>
      <w:divsChild>
        <w:div w:id="36201529">
          <w:marLeft w:val="0"/>
          <w:marRight w:val="0"/>
          <w:marTop w:val="0"/>
          <w:marBottom w:val="0"/>
          <w:divBdr>
            <w:top w:val="none" w:sz="0" w:space="0" w:color="auto"/>
            <w:left w:val="none" w:sz="0" w:space="0" w:color="auto"/>
            <w:bottom w:val="none" w:sz="0" w:space="0" w:color="auto"/>
            <w:right w:val="none" w:sz="0" w:space="0" w:color="auto"/>
          </w:divBdr>
        </w:div>
      </w:divsChild>
    </w:div>
    <w:div w:id="574164193">
      <w:bodyDiv w:val="1"/>
      <w:marLeft w:val="0"/>
      <w:marRight w:val="0"/>
      <w:marTop w:val="0"/>
      <w:marBottom w:val="0"/>
      <w:divBdr>
        <w:top w:val="none" w:sz="0" w:space="0" w:color="auto"/>
        <w:left w:val="none" w:sz="0" w:space="0" w:color="auto"/>
        <w:bottom w:val="none" w:sz="0" w:space="0" w:color="auto"/>
        <w:right w:val="none" w:sz="0" w:space="0" w:color="auto"/>
      </w:divBdr>
    </w:div>
    <w:div w:id="751199767">
      <w:bodyDiv w:val="1"/>
      <w:marLeft w:val="0"/>
      <w:marRight w:val="0"/>
      <w:marTop w:val="0"/>
      <w:marBottom w:val="0"/>
      <w:divBdr>
        <w:top w:val="none" w:sz="0" w:space="0" w:color="auto"/>
        <w:left w:val="none" w:sz="0" w:space="0" w:color="auto"/>
        <w:bottom w:val="none" w:sz="0" w:space="0" w:color="auto"/>
        <w:right w:val="none" w:sz="0" w:space="0" w:color="auto"/>
      </w:divBdr>
    </w:div>
    <w:div w:id="132319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ACB2B5EA8794DA2FC3C15619FDC7E" ma:contentTypeVersion="4" ma:contentTypeDescription="Create a new document." ma:contentTypeScope="" ma:versionID="790327790e45e78a9e0dc9d28311f96e">
  <xsd:schema xmlns:xsd="http://www.w3.org/2001/XMLSchema" xmlns:xs="http://www.w3.org/2001/XMLSchema" xmlns:p="http://schemas.microsoft.com/office/2006/metadata/properties" xmlns:ns3="ee5a10c7-a8ea-4457-94c5-f99ac428d013" targetNamespace="http://schemas.microsoft.com/office/2006/metadata/properties" ma:root="true" ma:fieldsID="d8d71acaa1ded774b5bfd2a144627870" ns3:_="">
    <xsd:import namespace="ee5a10c7-a8ea-4457-94c5-f99ac428d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0c7-a8ea-4457-94c5-f99ac428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8CD43-8F84-4218-A95A-19AF537D7D41}">
  <ds:schemaRefs>
    <ds:schemaRef ds:uri="http://schemas.microsoft.com/sharepoint/v3/contenttype/forms"/>
  </ds:schemaRefs>
</ds:datastoreItem>
</file>

<file path=customXml/itemProps2.xml><?xml version="1.0" encoding="utf-8"?>
<ds:datastoreItem xmlns:ds="http://schemas.openxmlformats.org/officeDocument/2006/customXml" ds:itemID="{F3C1688B-CD22-4894-BAE3-30768DFF4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B46C8-74D2-4EE0-8D0D-622CC0DA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0c7-a8ea-4457-94c5-f99ac42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Rosales EXT. (1190) (SDP)</dc:creator>
  <cp:lastModifiedBy>Ellisa Reiff Ext. 1261 (SDX)</cp:lastModifiedBy>
  <cp:revision>2</cp:revision>
  <cp:lastPrinted>2021-12-28T21:20:00Z</cp:lastPrinted>
  <dcterms:created xsi:type="dcterms:W3CDTF">2024-10-01T17:32:00Z</dcterms:created>
  <dcterms:modified xsi:type="dcterms:W3CDTF">2024-10-01T17:32:00Z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0x0101000CDACB2B5EA8794DA2FC3C15619FDC7E</vt:lpwstr>
  </property>
</Properties>
</file>